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865072A">
      <w:pPr>
        <w:pStyle w:val="48"/>
        <w:shd w:val="clear" w:color="auto" w:fill="auto"/>
        <w:tabs>
          <w:tab w:val="left" w:leader="underscore" w:pos="3813"/>
        </w:tabs>
        <w:spacing w:line="360" w:lineRule="auto"/>
        <w:jc w:val="both"/>
        <w:rPr>
          <w:rFonts w:ascii="Times New Roman" w:hAnsi="Times New Roman" w:cs="Times New Roman" w:eastAsiaTheme="minorEastAsia"/>
        </w:rPr>
      </w:pPr>
      <w:r>
        <w:rPr>
          <w:rFonts w:ascii="Times New Roman" w:hAnsi="Times New Roman" w:cs="Times New Roman" w:eastAsiaTheme="minorEastAsia"/>
        </w:rPr>
        <w:t xml:space="preserve">                                                       </w:t>
      </w:r>
      <w:r>
        <w:rPr>
          <w:rFonts w:hint="eastAsia" w:ascii="Times New Roman" w:hAnsi="Times New Roman" w:cs="Times New Roman" w:eastAsiaTheme="minorEastAsia"/>
          <w:lang w:val="en-US"/>
        </w:rPr>
        <w:t xml:space="preserve">                          </w:t>
      </w:r>
      <w:r>
        <w:rPr>
          <w:rFonts w:ascii="Times New Roman" w:hAnsi="Times New Roman" w:cs="Times New Roman" w:eastAsiaTheme="minorEastAsia"/>
        </w:rPr>
        <w:t xml:space="preserve"> </w:t>
      </w:r>
      <w:r>
        <w:rPr>
          <w:rFonts w:hint="eastAsia" w:ascii="Times New Roman" w:hAnsi="Times New Roman" w:cs="Times New Roman" w:eastAsiaTheme="minorEastAsia"/>
          <w:sz w:val="36"/>
          <w:szCs w:val="36"/>
          <w:lang w:eastAsia="zh-CN"/>
        </w:rPr>
        <w:t>谈判</w:t>
      </w:r>
      <w:r>
        <w:rPr>
          <w:rFonts w:hint="eastAsia" w:ascii="Times New Roman" w:hAnsi="Times New Roman" w:cs="Times New Roman"/>
          <w:sz w:val="36"/>
          <w:szCs w:val="36"/>
        </w:rPr>
        <w:t>编号</w:t>
      </w:r>
      <w:r>
        <w:rPr>
          <w:rFonts w:ascii="Times New Roman" w:hAnsi="Times New Roman" w:cs="Times New Roman"/>
          <w:sz w:val="36"/>
          <w:szCs w:val="36"/>
        </w:rPr>
        <w:t>:</w:t>
      </w:r>
      <w:r>
        <w:rPr>
          <w:rFonts w:ascii="Times New Roman" w:hAnsi="Times New Roman" w:cs="Times New Roman" w:eastAsiaTheme="minorEastAsia"/>
        </w:rPr>
        <w:t xml:space="preserve"> </w:t>
      </w:r>
      <w:r>
        <w:rPr>
          <w:rFonts w:hint="eastAsia" w:ascii="Times New Roman" w:hAnsi="Times New Roman" w:cs="Times New Roman" w:eastAsiaTheme="minorEastAsia"/>
        </w:rPr>
        <w:t>1173260106001</w:t>
      </w:r>
    </w:p>
    <w:p w14:paraId="46D0B0EC">
      <w:pPr>
        <w:pStyle w:val="37"/>
        <w:tabs>
          <w:tab w:val="left" w:leader="underscore" w:pos="5965"/>
        </w:tabs>
        <w:spacing w:line="240" w:lineRule="auto"/>
        <w:jc w:val="center"/>
        <w:rPr>
          <w:rFonts w:ascii="Times New Roman" w:hAnsi="Times New Roman" w:cs="Times New Roman" w:eastAsiaTheme="minorEastAsia"/>
          <w:b/>
          <w:bCs/>
          <w:spacing w:val="-12"/>
          <w:sz w:val="52"/>
          <w:szCs w:val="52"/>
        </w:rPr>
      </w:pPr>
      <w:bookmarkStart w:id="0" w:name="_Hlk166047686"/>
      <w:r>
        <w:rPr>
          <w:rFonts w:hint="eastAsia" w:ascii="Times New Roman" w:hAnsi="Times New Roman" w:cs="Times New Roman" w:eastAsiaTheme="minorEastAsia"/>
          <w:b/>
          <w:bCs/>
          <w:spacing w:val="-12"/>
          <w:sz w:val="52"/>
          <w:szCs w:val="52"/>
        </w:rPr>
        <w:t>山东济钢环保新材料有限公司</w:t>
      </w:r>
    </w:p>
    <w:bookmarkEnd w:id="0"/>
    <w:p w14:paraId="4F201F55">
      <w:pPr>
        <w:pStyle w:val="42"/>
        <w:shd w:val="clear" w:color="auto" w:fill="auto"/>
        <w:spacing w:before="0" w:after="720" w:afterLines="300" w:line="360" w:lineRule="auto"/>
        <w:jc w:val="center"/>
        <w:rPr>
          <w:rFonts w:ascii="Times New Roman" w:hAnsi="Times New Roman" w:cs="Times New Roman" w:eastAsiaTheme="minorEastAsia"/>
          <w:b/>
          <w:bCs/>
          <w:spacing w:val="-12"/>
          <w:sz w:val="52"/>
          <w:szCs w:val="52"/>
        </w:rPr>
      </w:pPr>
      <w:bookmarkStart w:id="1" w:name="bookmark0"/>
      <w:r>
        <w:rPr>
          <w:rFonts w:hint="eastAsia" w:ascii="Times New Roman" w:hAnsi="Times New Roman" w:cs="Times New Roman" w:eastAsiaTheme="minorEastAsia"/>
          <w:b/>
          <w:bCs/>
          <w:spacing w:val="-12"/>
          <w:sz w:val="52"/>
          <w:szCs w:val="52"/>
        </w:rPr>
        <w:t>2025年绿色矿山建设提升项目工程监理</w:t>
      </w:r>
    </w:p>
    <w:p w14:paraId="1E5ED24D">
      <w:pPr>
        <w:pStyle w:val="42"/>
        <w:shd w:val="clear" w:color="auto" w:fill="auto"/>
        <w:spacing w:before="0" w:line="360" w:lineRule="auto"/>
        <w:jc w:val="center"/>
        <w:rPr>
          <w:rFonts w:ascii="Times New Roman" w:hAnsi="Times New Roman" w:eastAsia="方正小标宋简体" w:cs="Times New Roman"/>
          <w:b/>
          <w:color w:val="auto"/>
          <w:spacing w:val="0"/>
          <w:kern w:val="2"/>
          <w:sz w:val="52"/>
          <w:szCs w:val="52"/>
          <w:lang w:val="en-US"/>
        </w:rPr>
      </w:pPr>
    </w:p>
    <w:p w14:paraId="36B6A652">
      <w:pPr>
        <w:pStyle w:val="42"/>
        <w:shd w:val="clear" w:color="auto" w:fill="auto"/>
        <w:spacing w:before="0" w:line="360" w:lineRule="auto"/>
        <w:jc w:val="center"/>
        <w:rPr>
          <w:rFonts w:ascii="Times New Roman" w:hAnsi="Times New Roman" w:eastAsia="方正小标宋简体" w:cs="Times New Roman"/>
          <w:b/>
          <w:color w:val="auto"/>
          <w:spacing w:val="0"/>
          <w:kern w:val="2"/>
          <w:sz w:val="52"/>
          <w:szCs w:val="52"/>
          <w:lang w:val="en-US"/>
        </w:rPr>
      </w:pPr>
    </w:p>
    <w:p w14:paraId="1817632B">
      <w:pPr>
        <w:pStyle w:val="42"/>
        <w:shd w:val="clear" w:color="auto" w:fill="auto"/>
        <w:spacing w:before="0" w:line="360" w:lineRule="auto"/>
        <w:jc w:val="center"/>
        <w:rPr>
          <w:rFonts w:ascii="Times New Roman" w:hAnsi="Times New Roman" w:eastAsia="方正小标宋简体" w:cs="Times New Roman"/>
          <w:b/>
          <w:color w:val="auto"/>
          <w:spacing w:val="0"/>
          <w:kern w:val="2"/>
          <w:sz w:val="52"/>
          <w:szCs w:val="52"/>
          <w:lang w:val="en-US"/>
        </w:rPr>
      </w:pPr>
    </w:p>
    <w:p w14:paraId="5444381E">
      <w:pPr>
        <w:pStyle w:val="42"/>
        <w:shd w:val="clear" w:color="auto" w:fill="auto"/>
        <w:spacing w:before="0" w:line="360" w:lineRule="auto"/>
        <w:jc w:val="center"/>
        <w:rPr>
          <w:rFonts w:ascii="Times New Roman" w:hAnsi="Times New Roman" w:eastAsia="方正小标宋简体" w:cs="Times New Roman"/>
          <w:b/>
          <w:color w:val="auto"/>
          <w:spacing w:val="0"/>
          <w:kern w:val="2"/>
          <w:sz w:val="52"/>
          <w:szCs w:val="52"/>
          <w:lang w:val="en-US"/>
        </w:rPr>
      </w:pPr>
      <w:r>
        <w:rPr>
          <w:rFonts w:hint="eastAsia" w:ascii="Times New Roman" w:hAnsi="Times New Roman" w:eastAsia="方正小标宋简体" w:cs="Times New Roman"/>
          <w:b/>
          <w:color w:val="auto"/>
          <w:spacing w:val="0"/>
          <w:kern w:val="2"/>
          <w:sz w:val="52"/>
          <w:szCs w:val="52"/>
          <w:lang w:val="en-US"/>
        </w:rPr>
        <w:t>竞争性谈判文</w:t>
      </w:r>
      <w:r>
        <w:rPr>
          <w:rFonts w:ascii="Times New Roman" w:hAnsi="Times New Roman" w:eastAsia="方正小标宋简体" w:cs="Times New Roman"/>
          <w:b/>
          <w:color w:val="auto"/>
          <w:spacing w:val="0"/>
          <w:kern w:val="2"/>
          <w:sz w:val="52"/>
          <w:szCs w:val="52"/>
          <w:lang w:val="en-US"/>
        </w:rPr>
        <w:t>件</w:t>
      </w:r>
      <w:bookmarkEnd w:id="1"/>
    </w:p>
    <w:p w14:paraId="5829CC63">
      <w:pPr>
        <w:pStyle w:val="42"/>
        <w:shd w:val="clear" w:color="auto" w:fill="auto"/>
        <w:spacing w:before="0" w:line="360" w:lineRule="auto"/>
        <w:jc w:val="center"/>
        <w:rPr>
          <w:rFonts w:ascii="Times New Roman" w:hAnsi="Times New Roman" w:eastAsia="方正小标宋简体" w:cs="Times New Roman"/>
          <w:b/>
          <w:color w:val="auto"/>
          <w:spacing w:val="0"/>
          <w:kern w:val="2"/>
          <w:sz w:val="52"/>
          <w:szCs w:val="52"/>
          <w:lang w:val="en-US"/>
        </w:rPr>
      </w:pPr>
    </w:p>
    <w:p w14:paraId="5692C49C">
      <w:pPr>
        <w:pStyle w:val="42"/>
        <w:shd w:val="clear" w:color="auto" w:fill="auto"/>
        <w:spacing w:before="0" w:line="360" w:lineRule="auto"/>
        <w:jc w:val="center"/>
        <w:rPr>
          <w:rFonts w:ascii="Times New Roman" w:hAnsi="Times New Roman" w:eastAsia="方正小标宋简体" w:cs="Times New Roman"/>
          <w:b/>
          <w:color w:val="auto"/>
          <w:spacing w:val="0"/>
          <w:kern w:val="2"/>
          <w:sz w:val="52"/>
          <w:szCs w:val="52"/>
          <w:lang w:val="en-US"/>
        </w:rPr>
      </w:pPr>
    </w:p>
    <w:p w14:paraId="578D7BEC">
      <w:pPr>
        <w:pStyle w:val="42"/>
        <w:shd w:val="clear" w:color="auto" w:fill="auto"/>
        <w:spacing w:before="0" w:line="360" w:lineRule="auto"/>
        <w:jc w:val="center"/>
        <w:rPr>
          <w:rFonts w:ascii="Times New Roman" w:hAnsi="Times New Roman" w:eastAsia="方正小标宋简体" w:cs="Times New Roman"/>
          <w:b/>
          <w:color w:val="auto"/>
          <w:spacing w:val="0"/>
          <w:kern w:val="2"/>
          <w:sz w:val="52"/>
          <w:szCs w:val="52"/>
          <w:lang w:val="en-US"/>
        </w:rPr>
      </w:pPr>
    </w:p>
    <w:p w14:paraId="69D7F21C">
      <w:pPr>
        <w:pStyle w:val="42"/>
        <w:shd w:val="clear" w:color="auto" w:fill="auto"/>
        <w:spacing w:before="0" w:line="360" w:lineRule="auto"/>
        <w:jc w:val="center"/>
        <w:rPr>
          <w:rFonts w:ascii="Times New Roman" w:hAnsi="Times New Roman" w:eastAsia="方正小标宋简体" w:cs="Times New Roman"/>
          <w:b/>
          <w:color w:val="auto"/>
          <w:spacing w:val="0"/>
          <w:kern w:val="2"/>
          <w:sz w:val="52"/>
          <w:szCs w:val="52"/>
          <w:lang w:val="en-US"/>
        </w:rPr>
      </w:pPr>
    </w:p>
    <w:p w14:paraId="1C701329">
      <w:pPr>
        <w:pStyle w:val="42"/>
        <w:shd w:val="clear" w:color="auto" w:fill="auto"/>
        <w:spacing w:before="0" w:line="360" w:lineRule="auto"/>
        <w:jc w:val="center"/>
        <w:rPr>
          <w:rFonts w:ascii="Times New Roman" w:hAnsi="Times New Roman" w:eastAsia="方正小标宋简体" w:cs="Times New Roman"/>
          <w:b/>
          <w:color w:val="auto"/>
          <w:spacing w:val="0"/>
          <w:kern w:val="2"/>
          <w:sz w:val="52"/>
          <w:szCs w:val="52"/>
          <w:lang w:val="en-US"/>
        </w:rPr>
      </w:pPr>
    </w:p>
    <w:p w14:paraId="129BD075">
      <w:pPr>
        <w:jc w:val="center"/>
        <w:rPr>
          <w:rFonts w:ascii="Times New Roman" w:hAnsi="Times New Roman" w:cs="Times New Roman" w:eastAsiaTheme="minorEastAsia"/>
          <w:b/>
          <w:sz w:val="32"/>
          <w:szCs w:val="32"/>
        </w:rPr>
      </w:pPr>
      <w:r>
        <w:rPr>
          <w:rFonts w:hint="eastAsia" w:ascii="Times New Roman" w:hAnsi="Times New Roman" w:cs="Times New Roman" w:eastAsiaTheme="minorEastAsia"/>
          <w:b/>
          <w:sz w:val="32"/>
          <w:szCs w:val="32"/>
          <w:lang w:eastAsia="zh-CN"/>
        </w:rPr>
        <w:t>谈判</w:t>
      </w:r>
      <w:r>
        <w:rPr>
          <w:rFonts w:ascii="Times New Roman" w:hAnsi="Times New Roman" w:cs="Times New Roman" w:eastAsiaTheme="minorEastAsia"/>
          <w:b/>
          <w:sz w:val="32"/>
          <w:szCs w:val="32"/>
        </w:rPr>
        <w:t>人:山东济钢环保新材料有限公司</w:t>
      </w:r>
    </w:p>
    <w:p w14:paraId="7E98D3B2">
      <w:pPr>
        <w:jc w:val="center"/>
        <w:rPr>
          <w:rFonts w:ascii="Times New Roman" w:hAnsi="Times New Roman" w:cs="Times New Roman" w:eastAsiaTheme="minorEastAsia"/>
          <w:b/>
          <w:sz w:val="32"/>
          <w:szCs w:val="32"/>
        </w:rPr>
      </w:pPr>
    </w:p>
    <w:p w14:paraId="47FE4089">
      <w:pPr>
        <w:jc w:val="center"/>
        <w:rPr>
          <w:rFonts w:ascii="Times New Roman" w:hAnsi="Times New Roman" w:cs="Times New Roman" w:eastAsiaTheme="minorEastAsia"/>
          <w:b/>
          <w:color w:val="auto"/>
          <w:sz w:val="32"/>
          <w:szCs w:val="32"/>
          <w:highlight w:val="none"/>
        </w:rPr>
      </w:pPr>
      <w:r>
        <w:rPr>
          <w:rFonts w:ascii="Times New Roman" w:hAnsi="Times New Roman" w:cs="Times New Roman" w:eastAsiaTheme="minorEastAsia"/>
          <w:b/>
          <w:color w:val="auto"/>
          <w:sz w:val="32"/>
          <w:szCs w:val="32"/>
          <w:highlight w:val="none"/>
        </w:rPr>
        <w:t>202</w:t>
      </w:r>
      <w:r>
        <w:rPr>
          <w:rFonts w:hint="eastAsia" w:ascii="Times New Roman" w:hAnsi="Times New Roman" w:cs="Times New Roman" w:eastAsiaTheme="minorEastAsia"/>
          <w:b/>
          <w:color w:val="auto"/>
          <w:sz w:val="32"/>
          <w:szCs w:val="32"/>
          <w:highlight w:val="none"/>
        </w:rPr>
        <w:t>6</w:t>
      </w:r>
      <w:r>
        <w:rPr>
          <w:rFonts w:ascii="Times New Roman" w:hAnsi="Times New Roman" w:cs="Times New Roman" w:eastAsiaTheme="minorEastAsia"/>
          <w:b/>
          <w:color w:val="auto"/>
          <w:sz w:val="32"/>
          <w:szCs w:val="32"/>
          <w:highlight w:val="none"/>
        </w:rPr>
        <w:t>年</w:t>
      </w:r>
      <w:r>
        <w:rPr>
          <w:rFonts w:hint="eastAsia" w:ascii="Times New Roman" w:hAnsi="Times New Roman" w:cs="Times New Roman" w:eastAsiaTheme="minorEastAsia"/>
          <w:b/>
          <w:color w:val="auto"/>
          <w:sz w:val="32"/>
          <w:szCs w:val="32"/>
          <w:highlight w:val="none"/>
        </w:rPr>
        <w:t>1</w:t>
      </w:r>
      <w:r>
        <w:rPr>
          <w:rFonts w:ascii="Times New Roman" w:hAnsi="Times New Roman" w:cs="Times New Roman" w:eastAsiaTheme="minorEastAsia"/>
          <w:b/>
          <w:color w:val="auto"/>
          <w:sz w:val="32"/>
          <w:szCs w:val="32"/>
          <w:highlight w:val="none"/>
        </w:rPr>
        <w:t>月</w:t>
      </w:r>
      <w:r>
        <w:rPr>
          <w:rFonts w:hint="eastAsia" w:ascii="Times New Roman" w:hAnsi="Times New Roman" w:cs="Times New Roman" w:eastAsiaTheme="minorEastAsia"/>
          <w:b/>
          <w:color w:val="auto"/>
          <w:sz w:val="32"/>
          <w:szCs w:val="32"/>
          <w:highlight w:val="none"/>
          <w:lang w:val="en-US" w:eastAsia="zh-CN"/>
        </w:rPr>
        <w:t>8</w:t>
      </w:r>
      <w:r>
        <w:rPr>
          <w:rFonts w:ascii="Times New Roman" w:hAnsi="Times New Roman" w:cs="Times New Roman" w:eastAsiaTheme="minorEastAsia"/>
          <w:b/>
          <w:color w:val="auto"/>
          <w:sz w:val="32"/>
          <w:szCs w:val="32"/>
          <w:highlight w:val="none"/>
        </w:rPr>
        <w:t>日</w:t>
      </w:r>
    </w:p>
    <w:p w14:paraId="7FFE9EC2">
      <w:pPr>
        <w:pStyle w:val="48"/>
        <w:shd w:val="clear" w:color="auto" w:fill="auto"/>
        <w:spacing w:after="301" w:line="360" w:lineRule="auto"/>
        <w:jc w:val="left"/>
        <w:rPr>
          <w:rFonts w:ascii="Times New Roman" w:hAnsi="Times New Roman" w:cs="Times New Roman" w:eastAsiaTheme="minorEastAsia"/>
          <w:lang w:val="zh-TW"/>
        </w:rPr>
      </w:pPr>
    </w:p>
    <w:p w14:paraId="661D7442">
      <w:pPr>
        <w:pStyle w:val="48"/>
        <w:shd w:val="clear" w:color="auto" w:fill="auto"/>
        <w:spacing w:after="301" w:line="360" w:lineRule="auto"/>
        <w:jc w:val="left"/>
        <w:rPr>
          <w:rFonts w:ascii="Times New Roman" w:hAnsi="Times New Roman" w:cs="Times New Roman" w:eastAsiaTheme="minorEastAsia"/>
          <w:lang w:val="zh-TW"/>
        </w:rPr>
        <w:sectPr>
          <w:pgSz w:w="11907" w:h="16840"/>
          <w:pgMar w:top="1304" w:right="1304" w:bottom="1304" w:left="1304" w:header="510" w:footer="3" w:gutter="0"/>
          <w:pgNumType w:start="0"/>
          <w:cols w:space="720" w:num="1"/>
          <w:docGrid w:linePitch="360" w:charSpace="0"/>
        </w:sectPr>
      </w:pPr>
    </w:p>
    <w:p w14:paraId="1301E484">
      <w:pPr>
        <w:autoSpaceDE w:val="0"/>
        <w:autoSpaceDN w:val="0"/>
        <w:adjustRightInd w:val="0"/>
        <w:spacing w:line="300" w:lineRule="auto"/>
        <w:ind w:left="1405" w:hanging="925"/>
        <w:jc w:val="center"/>
        <w:rPr>
          <w:rFonts w:ascii="Times New Roman" w:hAnsi="Times New Roman" w:eastAsia="仿宋" w:cs="Times New Roman"/>
          <w:color w:val="auto"/>
          <w:sz w:val="46"/>
          <w:szCs w:val="18"/>
          <w:lang w:val="en-US"/>
        </w:rPr>
      </w:pPr>
      <w:r>
        <w:rPr>
          <w:rFonts w:ascii="Times New Roman" w:hAnsi="Times New Roman" w:eastAsia="仿宋" w:cs="Times New Roman"/>
          <w:color w:val="auto"/>
          <w:sz w:val="46"/>
          <w:szCs w:val="18"/>
          <w:lang w:val="en-US"/>
        </w:rPr>
        <w:t>目  录</w:t>
      </w:r>
    </w:p>
    <w:p w14:paraId="4AA85BF1">
      <w:pPr>
        <w:pStyle w:val="15"/>
        <w:rPr>
          <w:rFonts w:ascii="宋体" w:hAnsi="宋体" w:eastAsia="宋体" w:cstheme="minorBidi"/>
          <w:b/>
          <w:bCs/>
          <w:color w:val="auto"/>
          <w:kern w:val="2"/>
          <w:sz w:val="30"/>
          <w:szCs w:val="30"/>
          <w:lang w:val="en-US"/>
          <w14:ligatures w14:val="standardContextual"/>
        </w:rPr>
      </w:pPr>
      <w:bookmarkStart w:id="2" w:name="_Toc218261871"/>
      <w:r>
        <w:fldChar w:fldCharType="begin"/>
      </w:r>
      <w:r>
        <w:instrText xml:space="preserve"> TOC \o "1-1" \h \z \u </w:instrText>
      </w:r>
      <w:r>
        <w:fldChar w:fldCharType="separate"/>
      </w:r>
      <w:r>
        <w:fldChar w:fldCharType="begin"/>
      </w:r>
      <w:r>
        <w:instrText xml:space="preserve"> HYPERLINK \l "_Toc218261990" </w:instrText>
      </w:r>
      <w:r>
        <w:fldChar w:fldCharType="separate"/>
      </w:r>
      <w:r>
        <w:rPr>
          <w:rStyle w:val="28"/>
          <w:rFonts w:ascii="宋体" w:hAnsi="宋体" w:eastAsia="宋体"/>
          <w:b/>
          <w:bCs/>
          <w:sz w:val="30"/>
          <w:szCs w:val="30"/>
        </w:rPr>
        <w:t>第一章 竞争性谈判公告</w:t>
      </w:r>
      <w:r>
        <w:rPr>
          <w:rFonts w:ascii="宋体" w:hAnsi="宋体" w:eastAsia="宋体"/>
          <w:b/>
          <w:bCs/>
          <w:sz w:val="30"/>
          <w:szCs w:val="30"/>
        </w:rPr>
        <w:tab/>
      </w:r>
      <w:r>
        <w:rPr>
          <w:rFonts w:ascii="宋体" w:hAnsi="宋体" w:eastAsia="宋体"/>
          <w:b/>
          <w:bCs/>
          <w:sz w:val="30"/>
          <w:szCs w:val="30"/>
        </w:rPr>
        <w:fldChar w:fldCharType="begin"/>
      </w:r>
      <w:r>
        <w:rPr>
          <w:rFonts w:ascii="宋体" w:hAnsi="宋体" w:eastAsia="宋体"/>
          <w:b/>
          <w:bCs/>
          <w:sz w:val="30"/>
          <w:szCs w:val="30"/>
        </w:rPr>
        <w:instrText xml:space="preserve"> PAGEREF _Toc218261990 \h </w:instrText>
      </w:r>
      <w:r>
        <w:rPr>
          <w:rFonts w:ascii="宋体" w:hAnsi="宋体" w:eastAsia="宋体"/>
          <w:b/>
          <w:bCs/>
          <w:sz w:val="30"/>
          <w:szCs w:val="30"/>
        </w:rPr>
        <w:fldChar w:fldCharType="separate"/>
      </w:r>
      <w:r>
        <w:rPr>
          <w:rFonts w:ascii="宋体" w:hAnsi="宋体" w:eastAsia="宋体"/>
          <w:b/>
          <w:bCs/>
          <w:sz w:val="30"/>
          <w:szCs w:val="30"/>
        </w:rPr>
        <w:t>2</w:t>
      </w:r>
      <w:r>
        <w:rPr>
          <w:rFonts w:ascii="宋体" w:hAnsi="宋体" w:eastAsia="宋体"/>
          <w:b/>
          <w:bCs/>
          <w:sz w:val="30"/>
          <w:szCs w:val="30"/>
        </w:rPr>
        <w:fldChar w:fldCharType="end"/>
      </w:r>
      <w:r>
        <w:rPr>
          <w:rFonts w:ascii="宋体" w:hAnsi="宋体" w:eastAsia="宋体"/>
          <w:b/>
          <w:bCs/>
          <w:sz w:val="30"/>
          <w:szCs w:val="30"/>
        </w:rPr>
        <w:fldChar w:fldCharType="end"/>
      </w:r>
    </w:p>
    <w:p w14:paraId="37DC0B09">
      <w:pPr>
        <w:pStyle w:val="15"/>
        <w:rPr>
          <w:rFonts w:ascii="宋体" w:hAnsi="宋体" w:eastAsia="宋体" w:cstheme="minorBidi"/>
          <w:b/>
          <w:bCs/>
          <w:color w:val="auto"/>
          <w:kern w:val="2"/>
          <w:sz w:val="30"/>
          <w:szCs w:val="30"/>
          <w:lang w:val="en-US"/>
          <w14:ligatures w14:val="standardContextual"/>
        </w:rPr>
      </w:pPr>
      <w:r>
        <w:fldChar w:fldCharType="begin"/>
      </w:r>
      <w:r>
        <w:instrText xml:space="preserve"> HYPERLINK \l "_Toc218261991" </w:instrText>
      </w:r>
      <w:r>
        <w:fldChar w:fldCharType="separate"/>
      </w:r>
      <w:r>
        <w:rPr>
          <w:rStyle w:val="28"/>
          <w:rFonts w:ascii="宋体" w:hAnsi="宋体" w:eastAsia="宋体"/>
          <w:b/>
          <w:bCs/>
          <w:sz w:val="30"/>
          <w:szCs w:val="30"/>
        </w:rPr>
        <w:t>第二章 投标人须知</w:t>
      </w:r>
      <w:r>
        <w:rPr>
          <w:rFonts w:ascii="宋体" w:hAnsi="宋体" w:eastAsia="宋体"/>
          <w:b/>
          <w:bCs/>
          <w:sz w:val="30"/>
          <w:szCs w:val="30"/>
        </w:rPr>
        <w:tab/>
      </w:r>
      <w:r>
        <w:rPr>
          <w:rFonts w:ascii="宋体" w:hAnsi="宋体" w:eastAsia="宋体"/>
          <w:b/>
          <w:bCs/>
          <w:sz w:val="30"/>
          <w:szCs w:val="30"/>
        </w:rPr>
        <w:fldChar w:fldCharType="begin"/>
      </w:r>
      <w:r>
        <w:rPr>
          <w:rFonts w:ascii="宋体" w:hAnsi="宋体" w:eastAsia="宋体"/>
          <w:b/>
          <w:bCs/>
          <w:sz w:val="30"/>
          <w:szCs w:val="30"/>
        </w:rPr>
        <w:instrText xml:space="preserve"> PAGEREF _Toc218261991 \h </w:instrText>
      </w:r>
      <w:r>
        <w:rPr>
          <w:rFonts w:ascii="宋体" w:hAnsi="宋体" w:eastAsia="宋体"/>
          <w:b/>
          <w:bCs/>
          <w:sz w:val="30"/>
          <w:szCs w:val="30"/>
        </w:rPr>
        <w:fldChar w:fldCharType="separate"/>
      </w:r>
      <w:r>
        <w:rPr>
          <w:rFonts w:ascii="宋体" w:hAnsi="宋体" w:eastAsia="宋体"/>
          <w:b/>
          <w:bCs/>
          <w:sz w:val="30"/>
          <w:szCs w:val="30"/>
        </w:rPr>
        <w:t>4</w:t>
      </w:r>
      <w:r>
        <w:rPr>
          <w:rFonts w:ascii="宋体" w:hAnsi="宋体" w:eastAsia="宋体"/>
          <w:b/>
          <w:bCs/>
          <w:sz w:val="30"/>
          <w:szCs w:val="30"/>
        </w:rPr>
        <w:fldChar w:fldCharType="end"/>
      </w:r>
      <w:r>
        <w:rPr>
          <w:rFonts w:ascii="宋体" w:hAnsi="宋体" w:eastAsia="宋体"/>
          <w:b/>
          <w:bCs/>
          <w:sz w:val="30"/>
          <w:szCs w:val="30"/>
        </w:rPr>
        <w:fldChar w:fldCharType="end"/>
      </w:r>
    </w:p>
    <w:p w14:paraId="0FA033FC">
      <w:pPr>
        <w:pStyle w:val="15"/>
        <w:rPr>
          <w:rFonts w:ascii="宋体" w:hAnsi="宋体" w:eastAsia="宋体" w:cstheme="minorBidi"/>
          <w:b/>
          <w:bCs/>
          <w:color w:val="auto"/>
          <w:kern w:val="2"/>
          <w:sz w:val="30"/>
          <w:szCs w:val="30"/>
          <w:lang w:val="en-US"/>
          <w14:ligatures w14:val="standardContextual"/>
        </w:rPr>
      </w:pPr>
      <w:r>
        <w:fldChar w:fldCharType="begin"/>
      </w:r>
      <w:r>
        <w:instrText xml:space="preserve"> HYPERLINK \l "_Toc218261992" </w:instrText>
      </w:r>
      <w:r>
        <w:fldChar w:fldCharType="separate"/>
      </w:r>
      <w:r>
        <w:rPr>
          <w:rStyle w:val="28"/>
          <w:rFonts w:ascii="宋体" w:hAnsi="宋体" w:eastAsia="宋体"/>
          <w:b/>
          <w:bCs/>
          <w:sz w:val="30"/>
          <w:szCs w:val="30"/>
        </w:rPr>
        <w:t>第三章 评标办法</w:t>
      </w:r>
      <w:r>
        <w:rPr>
          <w:rFonts w:ascii="宋体" w:hAnsi="宋体" w:eastAsia="宋体"/>
          <w:b/>
          <w:bCs/>
          <w:sz w:val="30"/>
          <w:szCs w:val="30"/>
        </w:rPr>
        <w:tab/>
      </w:r>
      <w:r>
        <w:rPr>
          <w:rFonts w:ascii="宋体" w:hAnsi="宋体" w:eastAsia="宋体"/>
          <w:b/>
          <w:bCs/>
          <w:sz w:val="30"/>
          <w:szCs w:val="30"/>
        </w:rPr>
        <w:fldChar w:fldCharType="begin"/>
      </w:r>
      <w:r>
        <w:rPr>
          <w:rFonts w:ascii="宋体" w:hAnsi="宋体" w:eastAsia="宋体"/>
          <w:b/>
          <w:bCs/>
          <w:sz w:val="30"/>
          <w:szCs w:val="30"/>
        </w:rPr>
        <w:instrText xml:space="preserve"> PAGEREF _Toc218261992 \h </w:instrText>
      </w:r>
      <w:r>
        <w:rPr>
          <w:rFonts w:ascii="宋体" w:hAnsi="宋体" w:eastAsia="宋体"/>
          <w:b/>
          <w:bCs/>
          <w:sz w:val="30"/>
          <w:szCs w:val="30"/>
        </w:rPr>
        <w:fldChar w:fldCharType="separate"/>
      </w:r>
      <w:r>
        <w:rPr>
          <w:rFonts w:ascii="宋体" w:hAnsi="宋体" w:eastAsia="宋体"/>
          <w:b/>
          <w:bCs/>
          <w:sz w:val="30"/>
          <w:szCs w:val="30"/>
        </w:rPr>
        <w:t>18</w:t>
      </w:r>
      <w:r>
        <w:rPr>
          <w:rFonts w:ascii="宋体" w:hAnsi="宋体" w:eastAsia="宋体"/>
          <w:b/>
          <w:bCs/>
          <w:sz w:val="30"/>
          <w:szCs w:val="30"/>
        </w:rPr>
        <w:fldChar w:fldCharType="end"/>
      </w:r>
      <w:r>
        <w:rPr>
          <w:rFonts w:ascii="宋体" w:hAnsi="宋体" w:eastAsia="宋体"/>
          <w:b/>
          <w:bCs/>
          <w:sz w:val="30"/>
          <w:szCs w:val="30"/>
        </w:rPr>
        <w:fldChar w:fldCharType="end"/>
      </w:r>
    </w:p>
    <w:p w14:paraId="0FF70A9D">
      <w:pPr>
        <w:pStyle w:val="15"/>
        <w:rPr>
          <w:rFonts w:ascii="宋体" w:hAnsi="宋体" w:eastAsia="宋体" w:cstheme="minorBidi"/>
          <w:b/>
          <w:bCs/>
          <w:color w:val="auto"/>
          <w:kern w:val="2"/>
          <w:sz w:val="30"/>
          <w:szCs w:val="30"/>
          <w:lang w:val="en-US"/>
          <w14:ligatures w14:val="standardContextual"/>
        </w:rPr>
      </w:pPr>
      <w:r>
        <w:fldChar w:fldCharType="begin"/>
      </w:r>
      <w:r>
        <w:instrText xml:space="preserve"> HYPERLINK \l "_Toc218261993" </w:instrText>
      </w:r>
      <w:r>
        <w:fldChar w:fldCharType="separate"/>
      </w:r>
      <w:r>
        <w:rPr>
          <w:rStyle w:val="28"/>
          <w:rFonts w:ascii="宋体" w:hAnsi="宋体" w:eastAsia="宋体"/>
          <w:b/>
          <w:bCs/>
          <w:sz w:val="30"/>
          <w:szCs w:val="30"/>
        </w:rPr>
        <w:t>第四章 合同条款及格式</w:t>
      </w:r>
      <w:r>
        <w:rPr>
          <w:rFonts w:ascii="宋体" w:hAnsi="宋体" w:eastAsia="宋体"/>
          <w:b/>
          <w:bCs/>
          <w:sz w:val="30"/>
          <w:szCs w:val="30"/>
        </w:rPr>
        <w:tab/>
      </w:r>
      <w:r>
        <w:rPr>
          <w:rFonts w:ascii="宋体" w:hAnsi="宋体" w:eastAsia="宋体"/>
          <w:b/>
          <w:bCs/>
          <w:sz w:val="30"/>
          <w:szCs w:val="30"/>
        </w:rPr>
        <w:fldChar w:fldCharType="begin"/>
      </w:r>
      <w:r>
        <w:rPr>
          <w:rFonts w:ascii="宋体" w:hAnsi="宋体" w:eastAsia="宋体"/>
          <w:b/>
          <w:bCs/>
          <w:sz w:val="30"/>
          <w:szCs w:val="30"/>
        </w:rPr>
        <w:instrText xml:space="preserve"> PAGEREF _Toc218261993 \h </w:instrText>
      </w:r>
      <w:r>
        <w:rPr>
          <w:rFonts w:ascii="宋体" w:hAnsi="宋体" w:eastAsia="宋体"/>
          <w:b/>
          <w:bCs/>
          <w:sz w:val="30"/>
          <w:szCs w:val="30"/>
        </w:rPr>
        <w:fldChar w:fldCharType="separate"/>
      </w:r>
      <w:r>
        <w:rPr>
          <w:rFonts w:ascii="宋体" w:hAnsi="宋体" w:eastAsia="宋体"/>
          <w:b/>
          <w:bCs/>
          <w:sz w:val="30"/>
          <w:szCs w:val="30"/>
        </w:rPr>
        <w:t>23</w:t>
      </w:r>
      <w:r>
        <w:rPr>
          <w:rFonts w:ascii="宋体" w:hAnsi="宋体" w:eastAsia="宋体"/>
          <w:b/>
          <w:bCs/>
          <w:sz w:val="30"/>
          <w:szCs w:val="30"/>
        </w:rPr>
        <w:fldChar w:fldCharType="end"/>
      </w:r>
      <w:r>
        <w:rPr>
          <w:rFonts w:ascii="宋体" w:hAnsi="宋体" w:eastAsia="宋体"/>
          <w:b/>
          <w:bCs/>
          <w:sz w:val="30"/>
          <w:szCs w:val="30"/>
        </w:rPr>
        <w:fldChar w:fldCharType="end"/>
      </w:r>
    </w:p>
    <w:p w14:paraId="135EE821">
      <w:pPr>
        <w:pStyle w:val="15"/>
        <w:rPr>
          <w:rFonts w:asciiTheme="minorHAnsi" w:hAnsiTheme="minorHAnsi" w:eastAsiaTheme="minorEastAsia" w:cstheme="minorBidi"/>
          <w:b/>
          <w:bCs/>
          <w:color w:val="auto"/>
          <w:kern w:val="2"/>
          <w:sz w:val="21"/>
          <w:szCs w:val="22"/>
          <w:lang w:val="en-US"/>
          <w14:ligatures w14:val="standardContextual"/>
        </w:rPr>
      </w:pPr>
      <w:r>
        <w:fldChar w:fldCharType="begin"/>
      </w:r>
      <w:r>
        <w:instrText xml:space="preserve"> HYPERLINK \l "_Toc218261994" </w:instrText>
      </w:r>
      <w:r>
        <w:fldChar w:fldCharType="separate"/>
      </w:r>
      <w:r>
        <w:rPr>
          <w:rStyle w:val="28"/>
          <w:rFonts w:ascii="宋体" w:hAnsi="宋体" w:eastAsia="宋体"/>
          <w:b/>
          <w:bCs/>
          <w:sz w:val="30"/>
          <w:szCs w:val="30"/>
        </w:rPr>
        <w:t>第五章 谈判文件格式</w:t>
      </w:r>
      <w:r>
        <w:rPr>
          <w:rFonts w:ascii="宋体" w:hAnsi="宋体" w:eastAsia="宋体"/>
          <w:b/>
          <w:bCs/>
          <w:sz w:val="30"/>
          <w:szCs w:val="30"/>
        </w:rPr>
        <w:tab/>
      </w:r>
      <w:r>
        <w:rPr>
          <w:rFonts w:ascii="宋体" w:hAnsi="宋体" w:eastAsia="宋体"/>
          <w:b/>
          <w:bCs/>
          <w:sz w:val="30"/>
          <w:szCs w:val="30"/>
        </w:rPr>
        <w:fldChar w:fldCharType="begin"/>
      </w:r>
      <w:r>
        <w:rPr>
          <w:rFonts w:ascii="宋体" w:hAnsi="宋体" w:eastAsia="宋体"/>
          <w:b/>
          <w:bCs/>
          <w:sz w:val="30"/>
          <w:szCs w:val="30"/>
        </w:rPr>
        <w:instrText xml:space="preserve"> PAGEREF _Toc218261994 \h </w:instrText>
      </w:r>
      <w:r>
        <w:rPr>
          <w:rFonts w:ascii="宋体" w:hAnsi="宋体" w:eastAsia="宋体"/>
          <w:b/>
          <w:bCs/>
          <w:sz w:val="30"/>
          <w:szCs w:val="30"/>
        </w:rPr>
        <w:fldChar w:fldCharType="separate"/>
      </w:r>
      <w:r>
        <w:rPr>
          <w:rFonts w:ascii="宋体" w:hAnsi="宋体" w:eastAsia="宋体"/>
          <w:b/>
          <w:bCs/>
          <w:sz w:val="30"/>
          <w:szCs w:val="30"/>
        </w:rPr>
        <w:t>57</w:t>
      </w:r>
      <w:r>
        <w:rPr>
          <w:rFonts w:ascii="宋体" w:hAnsi="宋体" w:eastAsia="宋体"/>
          <w:b/>
          <w:bCs/>
          <w:sz w:val="30"/>
          <w:szCs w:val="30"/>
        </w:rPr>
        <w:fldChar w:fldCharType="end"/>
      </w:r>
      <w:r>
        <w:rPr>
          <w:rFonts w:ascii="宋体" w:hAnsi="宋体" w:eastAsia="宋体"/>
          <w:b/>
          <w:bCs/>
          <w:sz w:val="30"/>
          <w:szCs w:val="30"/>
        </w:rPr>
        <w:fldChar w:fldCharType="end"/>
      </w:r>
    </w:p>
    <w:p w14:paraId="3AFBEB38">
      <w:pPr>
        <w:sectPr>
          <w:footerReference r:id="rId6" w:type="first"/>
          <w:footerReference r:id="rId5" w:type="default"/>
          <w:pgSz w:w="11907" w:h="16840"/>
          <w:pgMar w:top="1304" w:right="1304" w:bottom="1304" w:left="1304" w:header="0" w:footer="850" w:gutter="0"/>
          <w:pgNumType w:fmt="upperRoman" w:start="1"/>
          <w:cols w:space="720" w:num="1"/>
          <w:docGrid w:linePitch="360" w:charSpace="0"/>
        </w:sectPr>
      </w:pPr>
      <w:r>
        <w:fldChar w:fldCharType="end"/>
      </w:r>
    </w:p>
    <w:p w14:paraId="6D7B83C8">
      <w:pPr>
        <w:pStyle w:val="2"/>
        <w:spacing w:line="440" w:lineRule="exact"/>
        <w:jc w:val="center"/>
        <w:rPr>
          <w:rFonts w:ascii="Times New Roman" w:hAnsi="Times New Roman" w:cs="Times New Roman" w:eastAsiaTheme="minorEastAsia"/>
          <w:szCs w:val="36"/>
        </w:rPr>
      </w:pPr>
      <w:bookmarkStart w:id="3" w:name="_Toc218261990"/>
      <w:r>
        <w:rPr>
          <w:rFonts w:hint="eastAsia" w:ascii="Times New Roman" w:hAnsi="Times New Roman" w:cs="Times New Roman" w:eastAsiaTheme="minorEastAsia"/>
          <w:szCs w:val="36"/>
        </w:rPr>
        <w:t>第一章 竞争性谈判</w:t>
      </w:r>
      <w:r>
        <w:rPr>
          <w:rFonts w:ascii="Times New Roman" w:hAnsi="Times New Roman" w:cs="Times New Roman" w:eastAsiaTheme="minorEastAsia"/>
          <w:szCs w:val="36"/>
        </w:rPr>
        <w:t>公告</w:t>
      </w:r>
      <w:bookmarkEnd w:id="2"/>
      <w:bookmarkEnd w:id="3"/>
    </w:p>
    <w:p w14:paraId="367B7197">
      <w:pPr>
        <w:autoSpaceDE w:val="0"/>
        <w:autoSpaceDN w:val="0"/>
        <w:adjustRightInd w:val="0"/>
        <w:spacing w:line="440" w:lineRule="exact"/>
        <w:rPr>
          <w:rFonts w:ascii="Times New Roman" w:hAnsi="Times New Roman" w:cs="Times New Roman" w:eastAsiaTheme="minorEastAsia"/>
          <w:b/>
          <w:color w:val="auto"/>
          <w:lang w:val="zh-TW"/>
        </w:rPr>
      </w:pPr>
      <w:r>
        <w:rPr>
          <w:rFonts w:ascii="Times New Roman" w:hAnsi="Times New Roman" w:cs="Times New Roman" w:eastAsiaTheme="minorEastAsia"/>
          <w:b/>
          <w:bCs/>
          <w:color w:val="auto"/>
        </w:rPr>
        <w:t>一、</w:t>
      </w:r>
      <w:r>
        <w:rPr>
          <w:rFonts w:hint="eastAsia" w:ascii="Times New Roman" w:hAnsi="Times New Roman" w:cs="Times New Roman" w:eastAsiaTheme="minorEastAsia"/>
          <w:b/>
          <w:bCs/>
          <w:color w:val="auto"/>
          <w:lang w:eastAsia="zh-CN"/>
        </w:rPr>
        <w:t>谈判</w:t>
      </w:r>
      <w:r>
        <w:rPr>
          <w:rFonts w:ascii="Times New Roman" w:hAnsi="Times New Roman" w:cs="Times New Roman" w:eastAsiaTheme="minorEastAsia"/>
          <w:b/>
          <w:bCs/>
          <w:color w:val="auto"/>
        </w:rPr>
        <w:t>编号：</w:t>
      </w:r>
      <w:r>
        <w:rPr>
          <w:rFonts w:hint="eastAsia" w:ascii="Times New Roman" w:hAnsi="Times New Roman" w:cs="Times New Roman" w:eastAsiaTheme="minorEastAsia"/>
          <w:b/>
          <w:bCs/>
          <w:color w:val="auto"/>
        </w:rPr>
        <w:t>1173260106001</w:t>
      </w:r>
    </w:p>
    <w:p w14:paraId="38C170EB">
      <w:pPr>
        <w:spacing w:line="440" w:lineRule="exact"/>
        <w:rPr>
          <w:rFonts w:ascii="Times New Roman" w:hAnsi="Times New Roman" w:cs="Times New Roman" w:eastAsiaTheme="minorEastAsia"/>
          <w:color w:val="auto"/>
        </w:rPr>
      </w:pPr>
      <w:r>
        <w:rPr>
          <w:rFonts w:ascii="Times New Roman" w:hAnsi="Times New Roman" w:cs="Times New Roman" w:eastAsiaTheme="minorEastAsia"/>
          <w:b/>
          <w:bCs/>
          <w:color w:val="auto"/>
        </w:rPr>
        <w:t>二、</w:t>
      </w:r>
      <w:r>
        <w:rPr>
          <w:rFonts w:hint="eastAsia" w:ascii="Times New Roman" w:hAnsi="Times New Roman" w:cs="Times New Roman" w:eastAsiaTheme="minorEastAsia"/>
          <w:b/>
          <w:bCs/>
          <w:color w:val="auto"/>
          <w:lang w:eastAsia="zh-CN"/>
        </w:rPr>
        <w:t>谈判</w:t>
      </w:r>
      <w:r>
        <w:rPr>
          <w:rFonts w:ascii="Times New Roman" w:hAnsi="Times New Roman" w:cs="Times New Roman" w:eastAsiaTheme="minorEastAsia"/>
          <w:b/>
          <w:bCs/>
          <w:color w:val="auto"/>
        </w:rPr>
        <w:t>名称：</w:t>
      </w:r>
      <w:r>
        <w:rPr>
          <w:rFonts w:hint="eastAsia" w:ascii="Times New Roman" w:hAnsi="Times New Roman" w:cs="Times New Roman" w:eastAsiaTheme="minorEastAsia"/>
          <w:color w:val="auto"/>
        </w:rPr>
        <w:t>山东济钢环保新材料有限公司2025年度绿色矿山建设提升项目工程监理</w:t>
      </w:r>
    </w:p>
    <w:p w14:paraId="7015B0A6">
      <w:pPr>
        <w:autoSpaceDE w:val="0"/>
        <w:autoSpaceDN w:val="0"/>
        <w:adjustRightInd w:val="0"/>
        <w:spacing w:line="440" w:lineRule="exact"/>
        <w:rPr>
          <w:rFonts w:ascii="Times New Roman" w:hAnsi="Times New Roman" w:cs="Times New Roman" w:eastAsiaTheme="minorEastAsia"/>
          <w:b/>
          <w:bCs/>
          <w:color w:val="auto"/>
        </w:rPr>
      </w:pPr>
      <w:r>
        <w:rPr>
          <w:rFonts w:ascii="Times New Roman" w:hAnsi="Times New Roman" w:cs="Times New Roman" w:eastAsiaTheme="minorEastAsia"/>
          <w:b/>
          <w:bCs/>
          <w:color w:val="auto"/>
        </w:rPr>
        <w:t>三、项目概况与</w:t>
      </w:r>
      <w:r>
        <w:rPr>
          <w:rFonts w:hint="eastAsia" w:ascii="Times New Roman" w:hAnsi="Times New Roman" w:cs="Times New Roman" w:eastAsiaTheme="minorEastAsia"/>
          <w:b/>
          <w:bCs/>
          <w:color w:val="auto"/>
          <w:lang w:eastAsia="zh-CN"/>
        </w:rPr>
        <w:t>谈判</w:t>
      </w:r>
      <w:r>
        <w:rPr>
          <w:rFonts w:ascii="Times New Roman" w:hAnsi="Times New Roman" w:cs="Times New Roman" w:eastAsiaTheme="minorEastAsia"/>
          <w:b/>
          <w:bCs/>
          <w:color w:val="auto"/>
        </w:rPr>
        <w:t>范围</w:t>
      </w:r>
    </w:p>
    <w:p w14:paraId="0B26C2E0">
      <w:pPr>
        <w:adjustRightInd w:val="0"/>
        <w:snapToGrid w:val="0"/>
        <w:spacing w:line="440" w:lineRule="exact"/>
        <w:ind w:firstLine="480" w:firstLineChars="200"/>
        <w:jc w:val="both"/>
        <w:rPr>
          <w:rFonts w:ascii="Times New Roman" w:hAnsi="Times New Roman" w:cs="Times New Roman" w:eastAsiaTheme="minorEastAsia"/>
          <w:color w:val="auto"/>
        </w:rPr>
      </w:pPr>
      <w:r>
        <w:rPr>
          <w:rFonts w:hint="eastAsia" w:ascii="Times New Roman" w:hAnsi="Times New Roman" w:cs="Times New Roman" w:eastAsiaTheme="minorEastAsia"/>
          <w:color w:val="auto"/>
        </w:rPr>
        <w:t>2025年度绿色矿山建设提升项目位于济南市章丘区官庄街道山东济钢环保新材料有限公司，本项目投资额约280万元。项目计划建设工期为9个月。项目主要建设内容为边坡绿化提升治理及破损道路提升改造，主要包含绿化治理面积约7500m</w:t>
      </w:r>
      <w:r>
        <w:rPr>
          <w:rFonts w:hint="eastAsia" w:ascii="Times New Roman" w:hAnsi="Times New Roman" w:cs="Times New Roman" w:eastAsiaTheme="minorEastAsia"/>
          <w:color w:val="auto"/>
          <w:vertAlign w:val="superscript"/>
        </w:rPr>
        <w:t>2</w:t>
      </w:r>
      <w:r>
        <w:rPr>
          <w:rFonts w:hint="eastAsia" w:ascii="Times New Roman" w:hAnsi="Times New Roman" w:cs="Times New Roman" w:eastAsiaTheme="minorEastAsia"/>
          <w:color w:val="auto"/>
        </w:rPr>
        <w:t>、砌筑挡土墙约930m</w:t>
      </w:r>
      <w:r>
        <w:rPr>
          <w:rFonts w:hint="eastAsia" w:ascii="Times New Roman" w:hAnsi="Times New Roman" w:cs="Times New Roman" w:eastAsiaTheme="minorEastAsia"/>
          <w:color w:val="auto"/>
          <w:vertAlign w:val="superscript"/>
        </w:rPr>
        <w:t>3</w:t>
      </w:r>
      <w:r>
        <w:rPr>
          <w:rFonts w:hint="eastAsia" w:ascii="Times New Roman" w:hAnsi="Times New Roman" w:cs="Times New Roman" w:eastAsiaTheme="minorEastAsia"/>
          <w:color w:val="auto"/>
        </w:rPr>
        <w:t>、苗木种植等施工内容；破损道路提升改造主要包含：挖除原破损道路，新修沥青混凝土道路，道路提升改造面积约4500m</w:t>
      </w:r>
      <w:r>
        <w:rPr>
          <w:rFonts w:hint="eastAsia" w:ascii="Times New Roman" w:hAnsi="Times New Roman" w:cs="Times New Roman" w:eastAsiaTheme="minorEastAsia"/>
          <w:color w:val="auto"/>
          <w:vertAlign w:val="superscript"/>
        </w:rPr>
        <w:t>2</w:t>
      </w:r>
      <w:r>
        <w:rPr>
          <w:rFonts w:hint="eastAsia" w:ascii="Times New Roman" w:hAnsi="Times New Roman" w:cs="Times New Roman" w:eastAsiaTheme="minorEastAsia"/>
          <w:color w:val="auto"/>
        </w:rPr>
        <w:t>。</w:t>
      </w:r>
      <w:r>
        <w:rPr>
          <w:rFonts w:hint="eastAsia" w:ascii="Times New Roman" w:hAnsi="Times New Roman" w:cs="Times New Roman" w:eastAsiaTheme="minorEastAsia"/>
          <w:color w:val="auto"/>
          <w:lang w:eastAsia="zh-CN"/>
        </w:rPr>
        <w:t>谈判</w:t>
      </w:r>
      <w:r>
        <w:rPr>
          <w:rFonts w:hint="eastAsia" w:ascii="Times New Roman" w:hAnsi="Times New Roman" w:cs="Times New Roman" w:eastAsiaTheme="minorEastAsia"/>
          <w:color w:val="auto"/>
        </w:rPr>
        <w:t>范围2025年度绿色矿山建设提升项目工程量清单等全部工程内容的施工、缺陷责任期阶段工程监理等。</w:t>
      </w:r>
    </w:p>
    <w:p w14:paraId="690EB482">
      <w:pPr>
        <w:adjustRightInd w:val="0"/>
        <w:snapToGrid w:val="0"/>
        <w:spacing w:line="440" w:lineRule="exact"/>
        <w:ind w:firstLine="480" w:firstLineChars="200"/>
        <w:jc w:val="both"/>
        <w:rPr>
          <w:rFonts w:ascii="Times New Roman" w:hAnsi="Times New Roman" w:cs="Times New Roman" w:eastAsiaTheme="minorEastAsia"/>
          <w:bCs/>
          <w:color w:val="auto"/>
        </w:rPr>
      </w:pPr>
      <w:r>
        <w:rPr>
          <w:rFonts w:hint="eastAsia" w:ascii="Times New Roman" w:hAnsi="Times New Roman" w:cs="Times New Roman"/>
          <w:bCs/>
          <w:lang w:val="en-US"/>
        </w:rPr>
        <w:t>监理服务周期：阶段性施工</w:t>
      </w:r>
      <w:r>
        <w:rPr>
          <w:rFonts w:hint="eastAsia" w:ascii="Times New Roman" w:hAnsi="Times New Roman" w:cs="Times New Roman"/>
          <w:bCs/>
          <w:lang w:val="en-US" w:eastAsia="zh-CN"/>
        </w:rPr>
        <w:t>，合计</w:t>
      </w:r>
      <w:r>
        <w:rPr>
          <w:rFonts w:hint="eastAsia" w:ascii="Times New Roman" w:hAnsi="Times New Roman" w:cs="Times New Roman"/>
          <w:bCs/>
          <w:lang w:val="en-US"/>
        </w:rPr>
        <w:t>3</w:t>
      </w:r>
      <w:r>
        <w:rPr>
          <w:rFonts w:ascii="Times New Roman" w:hAnsi="Times New Roman" w:cs="Times New Roman"/>
          <w:bCs/>
        </w:rPr>
        <w:t>个月</w:t>
      </w:r>
      <w:r>
        <w:rPr>
          <w:rFonts w:hint="eastAsia" w:ascii="Times New Roman" w:hAnsi="Times New Roman" w:cs="Times New Roman"/>
          <w:bCs/>
        </w:rPr>
        <w:t>（</w:t>
      </w:r>
      <w:r>
        <w:rPr>
          <w:rFonts w:hint="eastAsia" w:ascii="Times New Roman" w:hAnsi="Times New Roman" w:cs="Times New Roman"/>
          <w:bCs/>
          <w:lang w:val="en-US"/>
        </w:rPr>
        <w:t>边坡绿化提升治理施工工期约2个月；破损道路提升改造施工工期约1个月</w:t>
      </w:r>
      <w:r>
        <w:rPr>
          <w:rFonts w:hint="eastAsia" w:ascii="Times New Roman" w:hAnsi="Times New Roman" w:cs="Times New Roman"/>
          <w:bCs/>
        </w:rPr>
        <w:t>）</w:t>
      </w:r>
    </w:p>
    <w:p w14:paraId="742FD4B6">
      <w:pPr>
        <w:autoSpaceDE w:val="0"/>
        <w:autoSpaceDN w:val="0"/>
        <w:adjustRightInd w:val="0"/>
        <w:spacing w:line="440" w:lineRule="exact"/>
        <w:rPr>
          <w:rFonts w:ascii="Times New Roman" w:hAnsi="Times New Roman" w:cs="Times New Roman" w:eastAsiaTheme="minorEastAsia"/>
          <w:b/>
          <w:bCs/>
          <w:color w:val="auto"/>
        </w:rPr>
      </w:pPr>
      <w:r>
        <w:rPr>
          <w:rFonts w:ascii="Times New Roman" w:hAnsi="Times New Roman" w:cs="Times New Roman" w:eastAsiaTheme="minorEastAsia"/>
          <w:b/>
          <w:bCs/>
          <w:color w:val="auto"/>
        </w:rPr>
        <w:t>四、投标人资格要求</w:t>
      </w:r>
    </w:p>
    <w:p w14:paraId="6A004320">
      <w:pPr>
        <w:adjustRightInd w:val="0"/>
        <w:snapToGrid w:val="0"/>
        <w:spacing w:line="440" w:lineRule="exact"/>
        <w:ind w:firstLine="480" w:firstLineChars="200"/>
        <w:jc w:val="both"/>
        <w:rPr>
          <w:rFonts w:ascii="Times New Roman" w:hAnsi="Times New Roman" w:cs="Times New Roman" w:eastAsiaTheme="minorEastAsia"/>
          <w:color w:val="auto"/>
        </w:rPr>
      </w:pPr>
      <w:r>
        <w:rPr>
          <w:rFonts w:ascii="Times New Roman" w:hAnsi="Times New Roman" w:cs="Times New Roman" w:eastAsiaTheme="minorEastAsia"/>
          <w:color w:val="auto"/>
        </w:rPr>
        <w:t>本项目投标人资格应满足以下要求，并提供可证明性材料：</w:t>
      </w:r>
    </w:p>
    <w:p w14:paraId="271C09F4">
      <w:pPr>
        <w:adjustRightInd w:val="0"/>
        <w:snapToGrid w:val="0"/>
        <w:spacing w:line="440" w:lineRule="exact"/>
        <w:ind w:firstLine="480" w:firstLineChars="200"/>
        <w:jc w:val="both"/>
        <w:rPr>
          <w:rFonts w:ascii="Times New Roman" w:hAnsi="Times New Roman" w:cs="Times New Roman" w:eastAsiaTheme="minorEastAsia"/>
          <w:color w:val="auto"/>
        </w:rPr>
      </w:pPr>
      <w:r>
        <w:rPr>
          <w:rFonts w:hint="eastAsia" w:ascii="Times New Roman" w:hAnsi="Times New Roman" w:cs="Times New Roman" w:eastAsiaTheme="minorEastAsia"/>
          <w:color w:val="auto"/>
        </w:rPr>
        <w:t>1、在中国境内注册具有独立法人资格的企业单位。</w:t>
      </w:r>
    </w:p>
    <w:p w14:paraId="79B69B9F">
      <w:pPr>
        <w:adjustRightInd w:val="0"/>
        <w:snapToGrid w:val="0"/>
        <w:spacing w:line="440" w:lineRule="exact"/>
        <w:ind w:firstLine="480" w:firstLineChars="200"/>
        <w:jc w:val="both"/>
        <w:rPr>
          <w:rFonts w:ascii="Times New Roman" w:hAnsi="Times New Roman" w:cs="Times New Roman" w:eastAsiaTheme="minorEastAsia"/>
          <w:color w:val="auto"/>
        </w:rPr>
      </w:pPr>
      <w:r>
        <w:rPr>
          <w:rFonts w:hint="eastAsia" w:ascii="Times New Roman" w:hAnsi="Times New Roman" w:cs="Times New Roman" w:eastAsiaTheme="minorEastAsia"/>
          <w:color w:val="auto"/>
        </w:rPr>
        <w:t>2、投标单位具备房建专业监理甲级及以上资质，并在技术力量、人员配备等方面具有相应的监理能力。本次</w:t>
      </w:r>
      <w:r>
        <w:rPr>
          <w:rFonts w:hint="eastAsia" w:ascii="Times New Roman" w:hAnsi="Times New Roman" w:cs="Times New Roman" w:eastAsiaTheme="minorEastAsia"/>
          <w:color w:val="auto"/>
          <w:lang w:eastAsia="zh-CN"/>
        </w:rPr>
        <w:t>谈判</w:t>
      </w:r>
      <w:r>
        <w:rPr>
          <w:rFonts w:hint="eastAsia" w:ascii="Times New Roman" w:hAnsi="Times New Roman" w:cs="Times New Roman" w:eastAsiaTheme="minorEastAsia"/>
          <w:color w:val="auto"/>
        </w:rPr>
        <w:t>不接受联合体投标。</w:t>
      </w:r>
    </w:p>
    <w:p w14:paraId="6D7D15A0">
      <w:pPr>
        <w:adjustRightInd w:val="0"/>
        <w:snapToGrid w:val="0"/>
        <w:spacing w:line="440" w:lineRule="exact"/>
        <w:ind w:firstLine="480" w:firstLineChars="200"/>
        <w:jc w:val="both"/>
        <w:rPr>
          <w:rFonts w:ascii="Times New Roman" w:hAnsi="Times New Roman" w:cs="Times New Roman" w:eastAsiaTheme="minorEastAsia"/>
          <w:color w:val="auto"/>
        </w:rPr>
      </w:pPr>
      <w:r>
        <w:rPr>
          <w:rFonts w:hint="eastAsia" w:ascii="Times New Roman" w:hAnsi="Times New Roman" w:cs="Times New Roman" w:eastAsiaTheme="minorEastAsia"/>
          <w:color w:val="auto"/>
        </w:rPr>
        <w:t>3、总监及主要人员：设置总监理工程师/专业监理工程师1名。总监理工程师应由具有建筑工程或相关项目监理工作经验的国家注册监理工程师担任，应附相关业绩和资格证明资料等。</w:t>
      </w:r>
    </w:p>
    <w:p w14:paraId="72B3867F">
      <w:pPr>
        <w:adjustRightInd w:val="0"/>
        <w:snapToGrid w:val="0"/>
        <w:spacing w:line="440" w:lineRule="exact"/>
        <w:ind w:firstLine="480" w:firstLineChars="200"/>
        <w:jc w:val="both"/>
        <w:rPr>
          <w:rFonts w:ascii="Times New Roman" w:hAnsi="Times New Roman" w:cs="Times New Roman" w:eastAsiaTheme="minorEastAsia"/>
          <w:color w:val="auto"/>
        </w:rPr>
      </w:pPr>
      <w:r>
        <w:rPr>
          <w:rFonts w:hint="eastAsia" w:ascii="Times New Roman" w:hAnsi="Times New Roman" w:cs="Times New Roman" w:eastAsiaTheme="minorEastAsia"/>
          <w:color w:val="auto"/>
        </w:rPr>
        <w:t>4、具有良好的业绩，诚实守信，投标人未被列入失信被执行人名单。</w:t>
      </w:r>
    </w:p>
    <w:p w14:paraId="6C3B9B36">
      <w:pPr>
        <w:adjustRightInd w:val="0"/>
        <w:snapToGrid w:val="0"/>
        <w:spacing w:line="440" w:lineRule="exact"/>
        <w:ind w:firstLine="480" w:firstLineChars="200"/>
        <w:jc w:val="both"/>
        <w:rPr>
          <w:rFonts w:ascii="Times New Roman" w:hAnsi="Times New Roman" w:cs="Times New Roman" w:eastAsiaTheme="minorEastAsia"/>
          <w:color w:val="auto"/>
        </w:rPr>
      </w:pPr>
      <w:r>
        <w:rPr>
          <w:rFonts w:ascii="Times New Roman" w:hAnsi="Times New Roman" w:cs="Times New Roman" w:eastAsiaTheme="minorEastAsia"/>
          <w:color w:val="auto"/>
        </w:rPr>
        <w:t>5、</w:t>
      </w:r>
      <w:r>
        <w:rPr>
          <w:rFonts w:hint="eastAsia" w:ascii="Times New Roman" w:hAnsi="Times New Roman" w:cs="Times New Roman" w:eastAsiaTheme="minorEastAsia"/>
          <w:color w:val="auto"/>
        </w:rPr>
        <w:t>具有良好的企业信誉和健全的财务会计制度，并提供财务审计报告</w:t>
      </w:r>
      <w:r>
        <w:rPr>
          <w:rFonts w:hint="eastAsia" w:ascii="Times New Roman" w:hAnsi="Times New Roman" w:cs="Times New Roman" w:eastAsiaTheme="minorEastAsia"/>
          <w:color w:val="auto"/>
          <w:lang w:val="en-US"/>
        </w:rPr>
        <w:t>或财务报表</w:t>
      </w:r>
      <w:r>
        <w:rPr>
          <w:rFonts w:hint="eastAsia" w:ascii="Times New Roman" w:hAnsi="Times New Roman" w:cs="Times New Roman" w:eastAsiaTheme="minorEastAsia"/>
          <w:color w:val="auto"/>
        </w:rPr>
        <w:t>，可以通过扫描防伪二维码在注册会计师行业统一监管平台查询(http://acc.mof.gov.cn)）；</w:t>
      </w:r>
    </w:p>
    <w:p w14:paraId="45BE682B">
      <w:pPr>
        <w:adjustRightInd w:val="0"/>
        <w:snapToGrid w:val="0"/>
        <w:spacing w:line="440" w:lineRule="exact"/>
        <w:ind w:firstLine="480" w:firstLineChars="200"/>
        <w:jc w:val="both"/>
        <w:rPr>
          <w:rFonts w:ascii="Times New Roman" w:hAnsi="Times New Roman" w:cs="Times New Roman" w:eastAsiaTheme="minorEastAsia"/>
          <w:color w:val="auto"/>
        </w:rPr>
      </w:pPr>
      <w:r>
        <w:rPr>
          <w:rFonts w:hint="eastAsia" w:ascii="Times New Roman" w:hAnsi="Times New Roman" w:cs="Times New Roman" w:eastAsiaTheme="minorEastAsia"/>
          <w:color w:val="auto"/>
        </w:rPr>
        <w:t>6、</w:t>
      </w:r>
      <w:r>
        <w:rPr>
          <w:rFonts w:ascii="Times New Roman" w:hAnsi="Times New Roman" w:cs="Times New Roman" w:eastAsiaTheme="minorEastAsia"/>
          <w:color w:val="auto"/>
        </w:rPr>
        <w:t>有依法缴纳税收和社会保障金的良好纪录</w:t>
      </w:r>
      <w:r>
        <w:rPr>
          <w:rFonts w:hint="eastAsia" w:ascii="Times New Roman" w:hAnsi="Times New Roman" w:cs="Times New Roman" w:eastAsiaTheme="minorEastAsia"/>
          <w:color w:val="auto"/>
        </w:rPr>
        <w:t>。</w:t>
      </w:r>
    </w:p>
    <w:p w14:paraId="34AF15B5">
      <w:pPr>
        <w:adjustRightInd w:val="0"/>
        <w:snapToGrid w:val="0"/>
        <w:spacing w:line="440" w:lineRule="exact"/>
        <w:ind w:firstLine="480" w:firstLineChars="200"/>
        <w:jc w:val="both"/>
        <w:rPr>
          <w:rFonts w:ascii="Times New Roman" w:hAnsi="Times New Roman" w:cs="Times New Roman" w:eastAsiaTheme="minorEastAsia"/>
          <w:color w:val="auto"/>
        </w:rPr>
      </w:pPr>
      <w:r>
        <w:rPr>
          <w:rFonts w:hint="eastAsia" w:ascii="Times New Roman" w:hAnsi="Times New Roman" w:cs="Times New Roman" w:eastAsiaTheme="minorEastAsia"/>
          <w:color w:val="auto"/>
        </w:rPr>
        <w:t>7</w:t>
      </w:r>
      <w:r>
        <w:rPr>
          <w:rFonts w:ascii="Times New Roman" w:hAnsi="Times New Roman" w:cs="Times New Roman" w:eastAsiaTheme="minorEastAsia"/>
          <w:color w:val="auto"/>
        </w:rPr>
        <w:t>、在本次谈判前三年（202</w:t>
      </w:r>
      <w:r>
        <w:rPr>
          <w:rFonts w:hint="eastAsia" w:ascii="Times New Roman" w:hAnsi="Times New Roman" w:cs="Times New Roman" w:eastAsiaTheme="minorEastAsia"/>
          <w:color w:val="auto"/>
          <w:lang w:val="en-US"/>
        </w:rPr>
        <w:t>2</w:t>
      </w:r>
      <w:r>
        <w:rPr>
          <w:rFonts w:hint="eastAsia" w:ascii="Times New Roman" w:hAnsi="Times New Roman" w:cs="Times New Roman" w:eastAsiaTheme="minorEastAsia"/>
          <w:color w:val="auto"/>
        </w:rPr>
        <w:t>、</w:t>
      </w:r>
      <w:r>
        <w:rPr>
          <w:rFonts w:hint="eastAsia" w:ascii="Times New Roman" w:hAnsi="Times New Roman" w:cs="Times New Roman" w:eastAsiaTheme="minorEastAsia"/>
          <w:color w:val="auto"/>
          <w:lang w:val="en-US"/>
        </w:rPr>
        <w:t>2023、2024</w:t>
      </w:r>
      <w:r>
        <w:rPr>
          <w:rFonts w:ascii="Times New Roman" w:hAnsi="Times New Roman" w:cs="Times New Roman" w:eastAsiaTheme="minorEastAsia"/>
          <w:color w:val="auto"/>
        </w:rPr>
        <w:t>年）内，应无下列不良记录：被行业主管部门通报整改的单位、被责令停业的、被暂停或取消投标资格的、财产被接管或冻结的、在经营活动中有重大违法违规行为。</w:t>
      </w:r>
    </w:p>
    <w:p w14:paraId="3BE0A3A9">
      <w:pPr>
        <w:adjustRightInd w:val="0"/>
        <w:snapToGrid w:val="0"/>
        <w:spacing w:line="440" w:lineRule="exact"/>
        <w:ind w:firstLine="480" w:firstLineChars="200"/>
        <w:jc w:val="both"/>
        <w:rPr>
          <w:rFonts w:ascii="Times New Roman" w:hAnsi="Times New Roman" w:cs="Times New Roman" w:eastAsiaTheme="minorEastAsia"/>
          <w:color w:val="auto"/>
        </w:rPr>
      </w:pPr>
      <w:r>
        <w:rPr>
          <w:rFonts w:hint="eastAsia" w:ascii="Times New Roman" w:hAnsi="Times New Roman" w:cs="Times New Roman" w:eastAsiaTheme="minorEastAsia"/>
          <w:color w:val="auto"/>
        </w:rPr>
        <w:t>8</w:t>
      </w:r>
      <w:r>
        <w:rPr>
          <w:rFonts w:ascii="Times New Roman" w:hAnsi="Times New Roman" w:cs="Times New Roman" w:eastAsiaTheme="minorEastAsia"/>
          <w:color w:val="auto"/>
        </w:rPr>
        <w:t>、投标人须遵守中华人民共和国有关法律、法规，无重大违法违约行为。“通过“信用中国”网站（www.creditchina.gov.cn）、中国政府</w:t>
      </w:r>
      <w:r>
        <w:rPr>
          <w:rFonts w:hint="eastAsia" w:ascii="Times New Roman" w:hAnsi="Times New Roman" w:cs="Times New Roman" w:eastAsiaTheme="minorEastAsia"/>
          <w:color w:val="auto"/>
          <w:lang w:eastAsia="zh-CN"/>
        </w:rPr>
        <w:t>谈判</w:t>
      </w:r>
      <w:r>
        <w:rPr>
          <w:rFonts w:ascii="Times New Roman" w:hAnsi="Times New Roman" w:cs="Times New Roman" w:eastAsiaTheme="minorEastAsia"/>
          <w:color w:val="auto"/>
        </w:rPr>
        <w:t>网（www.ccgp.gov.cn）查询，未被列入失信被执行人、重大税收违法案件当事人、政府</w:t>
      </w:r>
      <w:r>
        <w:rPr>
          <w:rFonts w:hint="eastAsia" w:ascii="Times New Roman" w:hAnsi="Times New Roman" w:cs="Times New Roman" w:eastAsiaTheme="minorEastAsia"/>
          <w:color w:val="auto"/>
          <w:lang w:eastAsia="zh-CN"/>
        </w:rPr>
        <w:t>谈判</w:t>
      </w:r>
      <w:r>
        <w:rPr>
          <w:rFonts w:ascii="Times New Roman" w:hAnsi="Times New Roman" w:cs="Times New Roman" w:eastAsiaTheme="minorEastAsia"/>
          <w:color w:val="auto"/>
        </w:rPr>
        <w:t>严重违法失信行为记录名单”，提供查询截屏。</w:t>
      </w:r>
    </w:p>
    <w:p w14:paraId="33F35B3E">
      <w:pPr>
        <w:autoSpaceDE w:val="0"/>
        <w:autoSpaceDN w:val="0"/>
        <w:adjustRightInd w:val="0"/>
        <w:spacing w:line="440" w:lineRule="exact"/>
        <w:rPr>
          <w:rFonts w:ascii="Times New Roman" w:hAnsi="Times New Roman" w:cs="Times New Roman" w:eastAsiaTheme="minorEastAsia"/>
          <w:b/>
          <w:bCs/>
          <w:color w:val="auto"/>
        </w:rPr>
      </w:pPr>
      <w:r>
        <w:rPr>
          <w:rFonts w:ascii="Times New Roman" w:hAnsi="Times New Roman" w:cs="Times New Roman" w:eastAsiaTheme="minorEastAsia"/>
          <w:b/>
          <w:bCs/>
          <w:color w:val="auto"/>
        </w:rPr>
        <w:t>五、公告及报名</w:t>
      </w:r>
    </w:p>
    <w:p w14:paraId="1A0032FE">
      <w:pPr>
        <w:adjustRightInd w:val="0"/>
        <w:snapToGrid w:val="0"/>
        <w:spacing w:line="440" w:lineRule="exact"/>
        <w:ind w:firstLine="480" w:firstLineChars="200"/>
        <w:jc w:val="both"/>
        <w:rPr>
          <w:rFonts w:ascii="Times New Roman" w:hAnsi="Times New Roman" w:cs="Times New Roman" w:eastAsiaTheme="minorEastAsia"/>
          <w:color w:val="auto"/>
        </w:rPr>
      </w:pPr>
      <w:r>
        <w:rPr>
          <w:rFonts w:ascii="Times New Roman" w:hAnsi="Times New Roman" w:cs="Times New Roman" w:eastAsiaTheme="minorEastAsia"/>
          <w:color w:val="auto"/>
        </w:rPr>
        <w:t>1、报名方式：</w:t>
      </w:r>
      <w:r>
        <w:rPr>
          <w:rFonts w:hint="eastAsia" w:ascii="Times New Roman" w:hAnsi="Times New Roman" w:cs="Times New Roman" w:eastAsiaTheme="minorEastAsia"/>
          <w:color w:val="auto"/>
        </w:rPr>
        <w:t>通过登录济钢集团有限公司阳光购销平台网上报名，平台网址：http://bidding.jigang.com.cn/(不接受线下报名)，凡有意参加的潜在投标人，注册用户成功后，须修改初始密码，重新登录后报名。请各投标单位在公告结束时间前将授权书、同类业绩（合同、用户评价、业绩表）等一并上传到网上报名中的上传资料中</w:t>
      </w:r>
    </w:p>
    <w:p w14:paraId="14B0E91B">
      <w:pPr>
        <w:adjustRightInd w:val="0"/>
        <w:snapToGrid w:val="0"/>
        <w:spacing w:line="440" w:lineRule="exact"/>
        <w:ind w:firstLine="480" w:firstLineChars="200"/>
        <w:jc w:val="both"/>
        <w:rPr>
          <w:rFonts w:ascii="Times New Roman" w:hAnsi="Times New Roman" w:cs="Times New Roman" w:eastAsiaTheme="minorEastAsia"/>
          <w:color w:val="FF0000"/>
        </w:rPr>
      </w:pPr>
      <w:r>
        <w:rPr>
          <w:rFonts w:ascii="Times New Roman" w:hAnsi="Times New Roman" w:cs="Times New Roman" w:eastAsiaTheme="minorEastAsia"/>
          <w:color w:val="auto"/>
        </w:rPr>
        <w:t>2、公告和报名时间</w:t>
      </w:r>
      <w:r>
        <w:rPr>
          <w:rFonts w:ascii="Times New Roman" w:hAnsi="Times New Roman" w:cs="Times New Roman" w:eastAsiaTheme="minorEastAsia"/>
          <w:color w:val="auto"/>
          <w:highlight w:val="none"/>
        </w:rPr>
        <w:t>：202</w:t>
      </w:r>
      <w:r>
        <w:rPr>
          <w:rFonts w:hint="eastAsia" w:ascii="Times New Roman" w:hAnsi="Times New Roman" w:cs="Times New Roman" w:eastAsiaTheme="minorEastAsia"/>
          <w:color w:val="auto"/>
          <w:highlight w:val="none"/>
          <w:lang w:val="en-US"/>
        </w:rPr>
        <w:t>6</w:t>
      </w:r>
      <w:r>
        <w:rPr>
          <w:rFonts w:ascii="Times New Roman" w:hAnsi="Times New Roman" w:cs="Times New Roman" w:eastAsiaTheme="minorEastAsia"/>
          <w:color w:val="auto"/>
          <w:highlight w:val="none"/>
        </w:rPr>
        <w:t>年</w:t>
      </w:r>
      <w:r>
        <w:rPr>
          <w:rFonts w:hint="eastAsia" w:ascii="Times New Roman" w:hAnsi="Times New Roman" w:cs="Times New Roman" w:eastAsiaTheme="minorEastAsia"/>
          <w:color w:val="auto"/>
          <w:highlight w:val="none"/>
          <w:lang w:val="en-US" w:eastAsia="zh-CN"/>
        </w:rPr>
        <w:t>1</w:t>
      </w:r>
      <w:r>
        <w:rPr>
          <w:rFonts w:ascii="Times New Roman" w:hAnsi="Times New Roman" w:cs="Times New Roman" w:eastAsiaTheme="minorEastAsia"/>
          <w:color w:val="auto"/>
          <w:highlight w:val="none"/>
        </w:rPr>
        <w:t>月</w:t>
      </w:r>
      <w:r>
        <w:rPr>
          <w:rFonts w:hint="eastAsia" w:ascii="Times New Roman" w:hAnsi="Times New Roman" w:cs="Times New Roman" w:eastAsiaTheme="minorEastAsia"/>
          <w:color w:val="auto"/>
          <w:highlight w:val="none"/>
          <w:lang w:val="en-US" w:eastAsia="zh-CN"/>
        </w:rPr>
        <w:t>8</w:t>
      </w:r>
      <w:r>
        <w:rPr>
          <w:rFonts w:hint="eastAsia" w:ascii="Times New Roman" w:hAnsi="Times New Roman" w:cs="Times New Roman" w:eastAsiaTheme="minorEastAsia"/>
          <w:color w:val="auto"/>
          <w:highlight w:val="none"/>
        </w:rPr>
        <w:t xml:space="preserve"> </w:t>
      </w:r>
      <w:r>
        <w:rPr>
          <w:rFonts w:ascii="Times New Roman" w:hAnsi="Times New Roman" w:cs="Times New Roman" w:eastAsiaTheme="minorEastAsia"/>
          <w:color w:val="auto"/>
          <w:highlight w:val="none"/>
        </w:rPr>
        <w:t>日～202</w:t>
      </w:r>
      <w:r>
        <w:rPr>
          <w:rFonts w:hint="eastAsia" w:ascii="Times New Roman" w:hAnsi="Times New Roman" w:cs="Times New Roman" w:eastAsiaTheme="minorEastAsia"/>
          <w:color w:val="auto"/>
          <w:highlight w:val="none"/>
          <w:lang w:val="en-US"/>
        </w:rPr>
        <w:t>6</w:t>
      </w:r>
      <w:r>
        <w:rPr>
          <w:rFonts w:ascii="Times New Roman" w:hAnsi="Times New Roman" w:cs="Times New Roman" w:eastAsiaTheme="minorEastAsia"/>
          <w:color w:val="auto"/>
          <w:highlight w:val="none"/>
        </w:rPr>
        <w:t>年</w:t>
      </w:r>
      <w:r>
        <w:rPr>
          <w:rFonts w:hint="eastAsia" w:ascii="Times New Roman" w:hAnsi="Times New Roman" w:cs="Times New Roman" w:eastAsiaTheme="minorEastAsia"/>
          <w:color w:val="auto"/>
          <w:highlight w:val="none"/>
          <w:lang w:val="en-US" w:eastAsia="zh-CN"/>
        </w:rPr>
        <w:t>1</w:t>
      </w:r>
      <w:r>
        <w:rPr>
          <w:rFonts w:ascii="Times New Roman" w:hAnsi="Times New Roman" w:cs="Times New Roman" w:eastAsiaTheme="minorEastAsia"/>
          <w:color w:val="auto"/>
          <w:highlight w:val="none"/>
        </w:rPr>
        <w:t>月</w:t>
      </w:r>
      <w:r>
        <w:rPr>
          <w:rFonts w:hint="eastAsia" w:ascii="Times New Roman" w:hAnsi="Times New Roman" w:cs="Times New Roman" w:eastAsiaTheme="minorEastAsia"/>
          <w:color w:val="auto"/>
          <w:highlight w:val="none"/>
          <w:lang w:val="en-US" w:eastAsia="zh-CN"/>
        </w:rPr>
        <w:t>15</w:t>
      </w:r>
      <w:r>
        <w:rPr>
          <w:rFonts w:ascii="Times New Roman" w:hAnsi="Times New Roman" w:cs="Times New Roman" w:eastAsiaTheme="minorEastAsia"/>
          <w:color w:val="auto"/>
          <w:highlight w:val="none"/>
        </w:rPr>
        <w:t>日</w:t>
      </w:r>
      <w:r>
        <w:rPr>
          <w:rFonts w:hint="eastAsia" w:ascii="Times New Roman" w:hAnsi="Times New Roman" w:cs="Times New Roman" w:eastAsiaTheme="minorEastAsia"/>
          <w:color w:val="auto"/>
          <w:highlight w:val="none"/>
        </w:rPr>
        <w:t>（北京时间）</w:t>
      </w:r>
      <w:r>
        <w:rPr>
          <w:rFonts w:ascii="Times New Roman" w:hAnsi="Times New Roman" w:cs="Times New Roman" w:eastAsiaTheme="minorEastAsia"/>
          <w:color w:val="auto"/>
          <w:highlight w:val="none"/>
        </w:rPr>
        <w:t>。</w:t>
      </w:r>
    </w:p>
    <w:p w14:paraId="61EB7870">
      <w:pPr>
        <w:autoSpaceDE w:val="0"/>
        <w:autoSpaceDN w:val="0"/>
        <w:adjustRightInd w:val="0"/>
        <w:spacing w:line="440" w:lineRule="exact"/>
        <w:rPr>
          <w:rFonts w:ascii="Times New Roman" w:hAnsi="Times New Roman" w:cs="Times New Roman" w:eastAsiaTheme="minorEastAsia"/>
          <w:b/>
          <w:bCs/>
          <w:color w:val="auto"/>
        </w:rPr>
      </w:pPr>
      <w:r>
        <w:rPr>
          <w:rFonts w:ascii="Times New Roman" w:hAnsi="Times New Roman" w:cs="Times New Roman" w:eastAsiaTheme="minorEastAsia"/>
          <w:b/>
          <w:bCs/>
          <w:color w:val="auto"/>
        </w:rPr>
        <w:t>六、</w:t>
      </w:r>
      <w:r>
        <w:rPr>
          <w:rFonts w:hint="eastAsia" w:ascii="Times New Roman" w:hAnsi="Times New Roman" w:cs="Times New Roman" w:eastAsiaTheme="minorEastAsia"/>
          <w:b/>
          <w:bCs/>
          <w:color w:val="auto"/>
        </w:rPr>
        <w:t>谈判</w:t>
      </w:r>
      <w:r>
        <w:rPr>
          <w:rFonts w:ascii="Times New Roman" w:hAnsi="Times New Roman" w:cs="Times New Roman" w:eastAsiaTheme="minorEastAsia"/>
          <w:b/>
          <w:bCs/>
          <w:color w:val="auto"/>
        </w:rPr>
        <w:t>文件:</w:t>
      </w:r>
    </w:p>
    <w:p w14:paraId="21785368">
      <w:pPr>
        <w:adjustRightInd w:val="0"/>
        <w:snapToGrid w:val="0"/>
        <w:spacing w:line="440" w:lineRule="exact"/>
        <w:ind w:firstLine="480" w:firstLineChars="200"/>
        <w:jc w:val="both"/>
        <w:rPr>
          <w:rFonts w:ascii="Times New Roman" w:hAnsi="Times New Roman" w:cs="Times New Roman" w:eastAsiaTheme="minorEastAsia"/>
          <w:color w:val="auto"/>
        </w:rPr>
      </w:pPr>
      <w:r>
        <w:rPr>
          <w:rFonts w:ascii="Times New Roman" w:hAnsi="Times New Roman" w:cs="Times New Roman" w:eastAsiaTheme="minorEastAsia"/>
          <w:color w:val="auto"/>
        </w:rPr>
        <w:t>1、</w:t>
      </w:r>
      <w:r>
        <w:rPr>
          <w:rFonts w:hint="eastAsia" w:ascii="Times New Roman" w:hAnsi="Times New Roman" w:cs="Times New Roman" w:eastAsiaTheme="minorEastAsia"/>
          <w:color w:val="auto"/>
          <w:lang w:eastAsia="zh-CN"/>
        </w:rPr>
        <w:t>谈判</w:t>
      </w:r>
      <w:r>
        <w:rPr>
          <w:rFonts w:ascii="Times New Roman" w:hAnsi="Times New Roman" w:cs="Times New Roman" w:eastAsiaTheme="minorEastAsia"/>
          <w:color w:val="auto"/>
        </w:rPr>
        <w:t>文件获取时间：通过登录济钢集团有限公司阳光购销平台网上报名，平台网址：</w:t>
      </w:r>
      <w:r>
        <w:fldChar w:fldCharType="begin"/>
      </w:r>
      <w:r>
        <w:instrText xml:space="preserve"> HYPERLINK "http://bidding.jigang.com.cn" </w:instrText>
      </w:r>
      <w:r>
        <w:fldChar w:fldCharType="separate"/>
      </w:r>
      <w:r>
        <w:rPr>
          <w:rFonts w:ascii="Times New Roman" w:hAnsi="Times New Roman" w:cs="Times New Roman" w:eastAsiaTheme="minorEastAsia"/>
          <w:color w:val="auto"/>
        </w:rPr>
        <w:t>http://bidding.jigang.com.cn</w:t>
      </w:r>
      <w:r>
        <w:rPr>
          <w:rFonts w:ascii="Times New Roman" w:hAnsi="Times New Roman" w:cs="Times New Roman" w:eastAsiaTheme="minorEastAsia"/>
          <w:color w:val="auto"/>
        </w:rPr>
        <w:fldChar w:fldCharType="end"/>
      </w:r>
      <w:r>
        <w:rPr>
          <w:rFonts w:ascii="Times New Roman" w:hAnsi="Times New Roman" w:cs="Times New Roman" w:eastAsiaTheme="minorEastAsia"/>
          <w:color w:val="auto"/>
        </w:rPr>
        <w:t>/</w:t>
      </w:r>
      <w:r>
        <w:rPr>
          <w:rFonts w:hint="eastAsia" w:ascii="Times New Roman" w:hAnsi="Times New Roman" w:cs="Times New Roman" w:eastAsiaTheme="minorEastAsia"/>
          <w:color w:val="auto"/>
        </w:rPr>
        <w:t>下载</w:t>
      </w:r>
      <w:r>
        <w:rPr>
          <w:rFonts w:hint="eastAsia" w:ascii="Times New Roman" w:hAnsi="Times New Roman" w:cs="Times New Roman" w:eastAsiaTheme="minorEastAsia"/>
          <w:color w:val="auto"/>
          <w:lang w:eastAsia="zh-CN"/>
        </w:rPr>
        <w:t>谈判</w:t>
      </w:r>
      <w:r>
        <w:rPr>
          <w:rFonts w:hint="eastAsia" w:ascii="Times New Roman" w:hAnsi="Times New Roman" w:cs="Times New Roman" w:eastAsiaTheme="minorEastAsia"/>
          <w:color w:val="auto"/>
        </w:rPr>
        <w:t>文件</w:t>
      </w:r>
      <w:r>
        <w:rPr>
          <w:rFonts w:ascii="Times New Roman" w:hAnsi="Times New Roman" w:cs="Times New Roman" w:eastAsiaTheme="minorEastAsia"/>
          <w:color w:val="auto"/>
        </w:rPr>
        <w:t>。</w:t>
      </w:r>
    </w:p>
    <w:p w14:paraId="202473C8">
      <w:pPr>
        <w:adjustRightInd w:val="0"/>
        <w:snapToGrid w:val="0"/>
        <w:spacing w:line="440" w:lineRule="exact"/>
        <w:ind w:firstLine="480" w:firstLineChars="200"/>
        <w:jc w:val="both"/>
        <w:rPr>
          <w:rFonts w:ascii="Times New Roman" w:hAnsi="Times New Roman" w:cs="Times New Roman" w:eastAsiaTheme="minorEastAsia"/>
          <w:color w:val="auto"/>
        </w:rPr>
      </w:pPr>
      <w:r>
        <w:rPr>
          <w:rFonts w:ascii="Times New Roman" w:hAnsi="Times New Roman" w:cs="Times New Roman" w:eastAsiaTheme="minorEastAsia"/>
          <w:color w:val="auto"/>
        </w:rPr>
        <w:t>2、获取</w:t>
      </w:r>
      <w:r>
        <w:rPr>
          <w:rFonts w:hint="eastAsia" w:ascii="Times New Roman" w:hAnsi="Times New Roman" w:cs="Times New Roman" w:eastAsiaTheme="minorEastAsia"/>
          <w:color w:val="auto"/>
          <w:lang w:eastAsia="zh-CN"/>
        </w:rPr>
        <w:t>谈判</w:t>
      </w:r>
      <w:r>
        <w:rPr>
          <w:rFonts w:ascii="Times New Roman" w:hAnsi="Times New Roman" w:cs="Times New Roman" w:eastAsiaTheme="minorEastAsia"/>
          <w:color w:val="auto"/>
        </w:rPr>
        <w:t>文件地点：凡有意参加本次</w:t>
      </w:r>
      <w:r>
        <w:rPr>
          <w:rFonts w:hint="eastAsia" w:ascii="Times New Roman" w:hAnsi="Times New Roman" w:cs="Times New Roman" w:eastAsiaTheme="minorEastAsia"/>
          <w:color w:val="auto"/>
          <w:lang w:eastAsia="zh-CN"/>
        </w:rPr>
        <w:t>谈判</w:t>
      </w:r>
      <w:r>
        <w:rPr>
          <w:rFonts w:ascii="Times New Roman" w:hAnsi="Times New Roman" w:cs="Times New Roman" w:eastAsiaTheme="minorEastAsia"/>
          <w:color w:val="auto"/>
        </w:rPr>
        <w:t>的投标人，在公告期内登陆：济钢集团有限公司阳光购销平台http://bidding.jigang.com.cn/，注册用户成功后，须修改初始密码，重新登录后报名，报名成功后即可下载</w:t>
      </w:r>
      <w:r>
        <w:rPr>
          <w:rFonts w:hint="eastAsia" w:ascii="Times New Roman" w:hAnsi="Times New Roman" w:cs="Times New Roman" w:eastAsiaTheme="minorEastAsia"/>
          <w:color w:val="auto"/>
          <w:lang w:eastAsia="zh-CN"/>
        </w:rPr>
        <w:t>谈判</w:t>
      </w:r>
      <w:r>
        <w:rPr>
          <w:rFonts w:ascii="Times New Roman" w:hAnsi="Times New Roman" w:cs="Times New Roman" w:eastAsiaTheme="minorEastAsia"/>
          <w:color w:val="auto"/>
        </w:rPr>
        <w:t>文件。</w:t>
      </w:r>
    </w:p>
    <w:p w14:paraId="317A7F92">
      <w:pPr>
        <w:autoSpaceDE w:val="0"/>
        <w:autoSpaceDN w:val="0"/>
        <w:adjustRightInd w:val="0"/>
        <w:spacing w:line="440" w:lineRule="exact"/>
        <w:rPr>
          <w:rFonts w:ascii="Times New Roman" w:hAnsi="Times New Roman" w:cs="Times New Roman" w:eastAsiaTheme="minorEastAsia"/>
          <w:b/>
          <w:bCs/>
          <w:color w:val="auto"/>
        </w:rPr>
      </w:pPr>
      <w:r>
        <w:rPr>
          <w:rFonts w:ascii="Times New Roman" w:hAnsi="Times New Roman" w:cs="Times New Roman" w:eastAsiaTheme="minorEastAsia"/>
          <w:b/>
          <w:bCs/>
          <w:color w:val="auto"/>
        </w:rPr>
        <w:t>七、</w:t>
      </w:r>
      <w:r>
        <w:rPr>
          <w:rFonts w:hint="eastAsia" w:ascii="Times New Roman" w:hAnsi="Times New Roman" w:cs="Times New Roman" w:eastAsiaTheme="minorEastAsia"/>
          <w:b/>
          <w:bCs/>
          <w:color w:val="auto"/>
        </w:rPr>
        <w:t>谈判</w:t>
      </w:r>
      <w:r>
        <w:rPr>
          <w:rFonts w:ascii="Times New Roman" w:hAnsi="Times New Roman" w:cs="Times New Roman" w:eastAsiaTheme="minorEastAsia"/>
          <w:b/>
          <w:bCs/>
          <w:color w:val="auto"/>
        </w:rPr>
        <w:t>保证金：</w:t>
      </w:r>
      <w:r>
        <w:rPr>
          <w:rFonts w:hint="eastAsia" w:ascii="Times New Roman" w:hAnsi="Times New Roman" w:cs="Times New Roman" w:eastAsiaTheme="minorEastAsia"/>
          <w:b/>
          <w:bCs/>
          <w:color w:val="auto"/>
        </w:rPr>
        <w:t>无。</w:t>
      </w:r>
    </w:p>
    <w:p w14:paraId="437CDB8E">
      <w:pPr>
        <w:autoSpaceDE w:val="0"/>
        <w:autoSpaceDN w:val="0"/>
        <w:adjustRightInd w:val="0"/>
        <w:spacing w:line="440" w:lineRule="exact"/>
        <w:rPr>
          <w:rFonts w:ascii="Times New Roman" w:hAnsi="Times New Roman" w:cs="Times New Roman" w:eastAsiaTheme="minorEastAsia"/>
          <w:b/>
          <w:bCs/>
          <w:color w:val="auto"/>
        </w:rPr>
      </w:pPr>
      <w:r>
        <w:rPr>
          <w:rFonts w:ascii="Times New Roman" w:hAnsi="Times New Roman" w:cs="Times New Roman" w:eastAsiaTheme="minorEastAsia"/>
          <w:b/>
          <w:bCs/>
          <w:color w:val="auto"/>
        </w:rPr>
        <w:t>八、</w:t>
      </w:r>
      <w:r>
        <w:rPr>
          <w:rFonts w:hint="eastAsia" w:ascii="Times New Roman" w:hAnsi="Times New Roman" w:cs="Times New Roman" w:eastAsiaTheme="minorEastAsia"/>
          <w:b/>
          <w:bCs/>
          <w:color w:val="auto"/>
        </w:rPr>
        <w:t>谈判</w:t>
      </w:r>
      <w:r>
        <w:rPr>
          <w:rFonts w:ascii="Times New Roman" w:hAnsi="Times New Roman" w:cs="Times New Roman" w:eastAsiaTheme="minorEastAsia"/>
          <w:b/>
          <w:bCs/>
          <w:color w:val="auto"/>
        </w:rPr>
        <w:t>时间和方式</w:t>
      </w:r>
    </w:p>
    <w:p w14:paraId="27FFB66C">
      <w:pPr>
        <w:adjustRightInd w:val="0"/>
        <w:snapToGrid w:val="0"/>
        <w:spacing w:line="440" w:lineRule="exact"/>
        <w:ind w:firstLine="480" w:firstLineChars="200"/>
        <w:jc w:val="both"/>
        <w:rPr>
          <w:rFonts w:ascii="Times New Roman" w:hAnsi="Times New Roman" w:cs="Times New Roman" w:eastAsiaTheme="minorEastAsia"/>
          <w:color w:val="auto"/>
        </w:rPr>
      </w:pPr>
      <w:r>
        <w:rPr>
          <w:rFonts w:ascii="Times New Roman" w:hAnsi="Times New Roman" w:cs="Times New Roman" w:eastAsiaTheme="minorEastAsia"/>
          <w:color w:val="auto"/>
        </w:rPr>
        <w:t>1、</w:t>
      </w:r>
      <w:r>
        <w:rPr>
          <w:rFonts w:hint="eastAsia" w:ascii="Times New Roman" w:hAnsi="Times New Roman" w:cs="Times New Roman" w:eastAsiaTheme="minorEastAsia"/>
          <w:color w:val="auto"/>
        </w:rPr>
        <w:t>谈判</w:t>
      </w:r>
      <w:r>
        <w:rPr>
          <w:rFonts w:ascii="Times New Roman" w:hAnsi="Times New Roman" w:cs="Times New Roman" w:eastAsiaTheme="minorEastAsia"/>
          <w:color w:val="auto"/>
        </w:rPr>
        <w:t>时间</w:t>
      </w:r>
      <w:r>
        <w:rPr>
          <w:rFonts w:ascii="Times New Roman" w:hAnsi="Times New Roman" w:cs="Times New Roman" w:eastAsiaTheme="minorEastAsia"/>
          <w:color w:val="auto"/>
          <w:highlight w:val="none"/>
        </w:rPr>
        <w:t>：</w:t>
      </w:r>
      <w:r>
        <w:rPr>
          <w:rFonts w:ascii="Times New Roman" w:hAnsi="Times New Roman" w:cs="Times New Roman" w:eastAsiaTheme="minorEastAsia"/>
          <w:color w:val="auto"/>
          <w:highlight w:val="none"/>
        </w:rPr>
        <w:t>202</w:t>
      </w:r>
      <w:r>
        <w:rPr>
          <w:rFonts w:hint="eastAsia" w:ascii="Times New Roman" w:hAnsi="Times New Roman" w:cs="Times New Roman" w:eastAsiaTheme="minorEastAsia"/>
          <w:color w:val="auto"/>
          <w:highlight w:val="none"/>
          <w:lang w:val="en-US"/>
        </w:rPr>
        <w:t>6</w:t>
      </w:r>
      <w:r>
        <w:rPr>
          <w:rFonts w:ascii="Times New Roman" w:hAnsi="Times New Roman" w:cs="Times New Roman" w:eastAsiaTheme="minorEastAsia"/>
          <w:color w:val="auto"/>
          <w:highlight w:val="none"/>
        </w:rPr>
        <w:t>年</w:t>
      </w:r>
      <w:r>
        <w:rPr>
          <w:rFonts w:hint="eastAsia" w:ascii="Times New Roman" w:hAnsi="Times New Roman" w:cs="Times New Roman" w:eastAsiaTheme="minorEastAsia"/>
          <w:color w:val="auto"/>
          <w:highlight w:val="none"/>
        </w:rPr>
        <w:t xml:space="preserve"> </w:t>
      </w:r>
      <w:r>
        <w:rPr>
          <w:rFonts w:hint="eastAsia" w:ascii="Times New Roman" w:hAnsi="Times New Roman" w:cs="Times New Roman" w:eastAsiaTheme="minorEastAsia"/>
          <w:color w:val="auto"/>
          <w:highlight w:val="none"/>
          <w:lang w:val="en-US" w:eastAsia="zh-CN"/>
        </w:rPr>
        <w:t>1</w:t>
      </w:r>
      <w:r>
        <w:rPr>
          <w:rFonts w:ascii="Times New Roman" w:hAnsi="Times New Roman" w:cs="Times New Roman" w:eastAsiaTheme="minorEastAsia"/>
          <w:color w:val="auto"/>
          <w:highlight w:val="none"/>
        </w:rPr>
        <w:t>月</w:t>
      </w:r>
      <w:r>
        <w:rPr>
          <w:rFonts w:hint="eastAsia" w:ascii="Times New Roman" w:hAnsi="Times New Roman" w:cs="Times New Roman" w:eastAsiaTheme="minorEastAsia"/>
          <w:color w:val="auto"/>
          <w:highlight w:val="none"/>
          <w:lang w:val="en-US" w:eastAsia="zh-CN"/>
        </w:rPr>
        <w:t>16</w:t>
      </w:r>
      <w:r>
        <w:rPr>
          <w:rFonts w:ascii="Times New Roman" w:hAnsi="Times New Roman" w:cs="Times New Roman" w:eastAsiaTheme="minorEastAsia"/>
          <w:color w:val="auto"/>
          <w:highlight w:val="none"/>
        </w:rPr>
        <w:t xml:space="preserve">日9:00（北京时间）； </w:t>
      </w:r>
    </w:p>
    <w:p w14:paraId="18060CED">
      <w:pPr>
        <w:adjustRightInd w:val="0"/>
        <w:snapToGrid w:val="0"/>
        <w:spacing w:line="440" w:lineRule="exact"/>
        <w:ind w:firstLine="480" w:firstLineChars="200"/>
        <w:jc w:val="both"/>
        <w:rPr>
          <w:rFonts w:ascii="Times New Roman" w:hAnsi="Times New Roman" w:cs="Times New Roman" w:eastAsiaTheme="minorEastAsia"/>
          <w:color w:val="auto"/>
        </w:rPr>
      </w:pPr>
      <w:r>
        <w:rPr>
          <w:rFonts w:hint="eastAsia" w:ascii="Times New Roman" w:hAnsi="Times New Roman" w:cs="Times New Roman" w:eastAsiaTheme="minorEastAsia"/>
          <w:color w:val="auto"/>
        </w:rPr>
        <w:t>2、谈判文件递交的截止时间</w:t>
      </w:r>
      <w:r>
        <w:rPr>
          <w:rFonts w:hint="eastAsia" w:ascii="Times New Roman" w:hAnsi="Times New Roman" w:cs="Times New Roman" w:eastAsiaTheme="minorEastAsia"/>
          <w:color w:val="auto"/>
          <w:highlight w:val="none"/>
        </w:rPr>
        <w:t>：</w:t>
      </w:r>
      <w:r>
        <w:rPr>
          <w:rFonts w:ascii="Times New Roman" w:hAnsi="Times New Roman" w:cs="Times New Roman" w:eastAsiaTheme="minorEastAsia"/>
          <w:color w:val="auto"/>
          <w:highlight w:val="none"/>
        </w:rPr>
        <w:t>202</w:t>
      </w:r>
      <w:r>
        <w:rPr>
          <w:rFonts w:hint="eastAsia" w:ascii="Times New Roman" w:hAnsi="Times New Roman" w:cs="Times New Roman" w:eastAsiaTheme="minorEastAsia"/>
          <w:color w:val="auto"/>
          <w:highlight w:val="none"/>
          <w:lang w:val="en-US"/>
        </w:rPr>
        <w:t>6</w:t>
      </w:r>
      <w:r>
        <w:rPr>
          <w:rFonts w:ascii="Times New Roman" w:hAnsi="Times New Roman" w:cs="Times New Roman" w:eastAsiaTheme="minorEastAsia"/>
          <w:color w:val="auto"/>
          <w:highlight w:val="none"/>
        </w:rPr>
        <w:t>年</w:t>
      </w:r>
      <w:r>
        <w:rPr>
          <w:rFonts w:hint="eastAsia" w:ascii="Times New Roman" w:hAnsi="Times New Roman" w:cs="Times New Roman" w:eastAsiaTheme="minorEastAsia"/>
          <w:color w:val="auto"/>
          <w:highlight w:val="none"/>
        </w:rPr>
        <w:t xml:space="preserve"> </w:t>
      </w:r>
      <w:r>
        <w:rPr>
          <w:rFonts w:hint="eastAsia" w:ascii="Times New Roman" w:hAnsi="Times New Roman" w:cs="Times New Roman" w:eastAsiaTheme="minorEastAsia"/>
          <w:color w:val="auto"/>
          <w:highlight w:val="none"/>
          <w:lang w:val="en-US" w:eastAsia="zh-CN"/>
        </w:rPr>
        <w:t>1</w:t>
      </w:r>
      <w:r>
        <w:rPr>
          <w:rFonts w:ascii="Times New Roman" w:hAnsi="Times New Roman" w:cs="Times New Roman" w:eastAsiaTheme="minorEastAsia"/>
          <w:color w:val="auto"/>
          <w:highlight w:val="none"/>
        </w:rPr>
        <w:t>月</w:t>
      </w:r>
      <w:r>
        <w:rPr>
          <w:rFonts w:hint="eastAsia" w:ascii="Times New Roman" w:hAnsi="Times New Roman" w:cs="Times New Roman" w:eastAsiaTheme="minorEastAsia"/>
          <w:color w:val="auto"/>
          <w:highlight w:val="none"/>
          <w:lang w:val="en-US" w:eastAsia="zh-CN"/>
        </w:rPr>
        <w:t>16</w:t>
      </w:r>
      <w:r>
        <w:rPr>
          <w:rFonts w:ascii="Times New Roman" w:hAnsi="Times New Roman" w:cs="Times New Roman" w:eastAsiaTheme="minorEastAsia"/>
          <w:color w:val="auto"/>
          <w:highlight w:val="none"/>
        </w:rPr>
        <w:t>日9:00（北京时间）</w:t>
      </w:r>
    </w:p>
    <w:p w14:paraId="3B2AA2B6">
      <w:pPr>
        <w:adjustRightInd w:val="0"/>
        <w:snapToGrid w:val="0"/>
        <w:spacing w:line="440" w:lineRule="exact"/>
        <w:ind w:firstLine="480" w:firstLineChars="200"/>
        <w:jc w:val="both"/>
        <w:rPr>
          <w:rFonts w:ascii="Times New Roman" w:hAnsi="Times New Roman" w:cs="Times New Roman" w:eastAsiaTheme="minorEastAsia"/>
          <w:color w:val="auto"/>
        </w:rPr>
      </w:pPr>
      <w:r>
        <w:rPr>
          <w:rFonts w:hint="eastAsia" w:ascii="Times New Roman" w:hAnsi="Times New Roman" w:cs="Times New Roman" w:eastAsiaTheme="minorEastAsia"/>
          <w:color w:val="auto"/>
        </w:rPr>
        <w:t>3</w:t>
      </w:r>
      <w:r>
        <w:rPr>
          <w:rFonts w:ascii="Times New Roman" w:hAnsi="Times New Roman" w:cs="Times New Roman" w:eastAsiaTheme="minorEastAsia"/>
          <w:color w:val="auto"/>
        </w:rPr>
        <w:t>、</w:t>
      </w:r>
      <w:r>
        <w:rPr>
          <w:rFonts w:hint="eastAsia" w:ascii="Times New Roman" w:hAnsi="Times New Roman" w:cs="Times New Roman" w:eastAsiaTheme="minorEastAsia"/>
          <w:color w:val="auto"/>
        </w:rPr>
        <w:t>谈判</w:t>
      </w:r>
      <w:r>
        <w:rPr>
          <w:rFonts w:ascii="Times New Roman" w:hAnsi="Times New Roman" w:cs="Times New Roman" w:eastAsiaTheme="minorEastAsia"/>
          <w:color w:val="auto"/>
        </w:rPr>
        <w:t>方式：网上</w:t>
      </w:r>
      <w:r>
        <w:rPr>
          <w:rFonts w:hint="eastAsia" w:ascii="Times New Roman" w:hAnsi="Times New Roman" w:cs="Times New Roman" w:eastAsiaTheme="minorEastAsia"/>
          <w:color w:val="auto"/>
        </w:rPr>
        <w:t>谈判</w:t>
      </w:r>
      <w:r>
        <w:rPr>
          <w:rFonts w:ascii="Times New Roman" w:hAnsi="Times New Roman" w:cs="Times New Roman" w:eastAsiaTheme="minorEastAsia"/>
          <w:color w:val="auto"/>
        </w:rPr>
        <w:t>，无需供应商到达现场。</w:t>
      </w:r>
    </w:p>
    <w:p w14:paraId="6DB0E5F3">
      <w:pPr>
        <w:autoSpaceDE w:val="0"/>
        <w:autoSpaceDN w:val="0"/>
        <w:adjustRightInd w:val="0"/>
        <w:spacing w:line="440" w:lineRule="exact"/>
        <w:rPr>
          <w:rFonts w:ascii="Times New Roman" w:hAnsi="Times New Roman" w:cs="Times New Roman" w:eastAsiaTheme="minorEastAsia"/>
          <w:b/>
          <w:bCs/>
          <w:color w:val="auto"/>
        </w:rPr>
      </w:pPr>
      <w:r>
        <w:rPr>
          <w:rFonts w:ascii="Times New Roman" w:hAnsi="Times New Roman" w:cs="Times New Roman" w:eastAsiaTheme="minorEastAsia"/>
          <w:b/>
          <w:bCs/>
          <w:color w:val="auto"/>
        </w:rPr>
        <w:t>九、资格审查方式：</w:t>
      </w:r>
    </w:p>
    <w:p w14:paraId="36728035">
      <w:pPr>
        <w:adjustRightInd w:val="0"/>
        <w:snapToGrid w:val="0"/>
        <w:spacing w:line="440" w:lineRule="exact"/>
        <w:ind w:firstLine="480" w:firstLineChars="200"/>
        <w:jc w:val="both"/>
        <w:rPr>
          <w:rFonts w:ascii="Times New Roman" w:hAnsi="Times New Roman" w:cs="Times New Roman" w:eastAsiaTheme="minorEastAsia"/>
          <w:color w:val="auto"/>
        </w:rPr>
      </w:pPr>
      <w:r>
        <w:rPr>
          <w:rFonts w:ascii="Times New Roman" w:hAnsi="Times New Roman" w:cs="Times New Roman" w:eastAsiaTheme="minorEastAsia"/>
          <w:color w:val="auto"/>
        </w:rPr>
        <w:t>资格后审。开标后，评</w:t>
      </w:r>
      <w:r>
        <w:rPr>
          <w:rFonts w:hint="eastAsia" w:ascii="Times New Roman" w:hAnsi="Times New Roman" w:cs="Times New Roman" w:eastAsiaTheme="minorEastAsia"/>
          <w:color w:val="auto"/>
        </w:rPr>
        <w:t>审</w:t>
      </w:r>
      <w:r>
        <w:rPr>
          <w:rFonts w:ascii="Times New Roman" w:hAnsi="Times New Roman" w:cs="Times New Roman" w:eastAsiaTheme="minorEastAsia"/>
          <w:color w:val="auto"/>
        </w:rPr>
        <w:t>委员会对投标单位的资质文件进行评审。评审合格的进入下一阶段评审；评审不合格的按废标处理。</w:t>
      </w:r>
    </w:p>
    <w:p w14:paraId="61AD3E81">
      <w:pPr>
        <w:autoSpaceDE w:val="0"/>
        <w:autoSpaceDN w:val="0"/>
        <w:adjustRightInd w:val="0"/>
        <w:spacing w:line="440" w:lineRule="exact"/>
        <w:rPr>
          <w:rFonts w:ascii="Times New Roman" w:hAnsi="Times New Roman" w:cs="Times New Roman" w:eastAsiaTheme="minorEastAsia"/>
          <w:b/>
          <w:bCs/>
          <w:color w:val="auto"/>
        </w:rPr>
      </w:pPr>
      <w:r>
        <w:rPr>
          <w:rFonts w:ascii="Times New Roman" w:hAnsi="Times New Roman" w:cs="Times New Roman" w:eastAsiaTheme="minorEastAsia"/>
          <w:b/>
          <w:bCs/>
          <w:color w:val="auto"/>
        </w:rPr>
        <w:t>十、联系方式</w:t>
      </w:r>
    </w:p>
    <w:p w14:paraId="4E43BF1E">
      <w:pPr>
        <w:adjustRightInd w:val="0"/>
        <w:snapToGrid w:val="0"/>
        <w:spacing w:line="440" w:lineRule="exact"/>
        <w:ind w:firstLine="480" w:firstLineChars="200"/>
        <w:jc w:val="both"/>
        <w:rPr>
          <w:rFonts w:hint="default" w:ascii="Times New Roman" w:hAnsi="Times New Roman" w:cs="Times New Roman" w:eastAsiaTheme="minorEastAsia"/>
          <w:color w:val="auto"/>
          <w:lang w:val="en-US" w:eastAsia="zh-CN"/>
        </w:rPr>
      </w:pPr>
      <w:r>
        <w:rPr>
          <w:rFonts w:ascii="Times New Roman" w:hAnsi="Times New Roman" w:cs="Times New Roman" w:eastAsiaTheme="minorEastAsia"/>
          <w:color w:val="auto"/>
        </w:rPr>
        <w:t>1、</w:t>
      </w:r>
      <w:r>
        <w:rPr>
          <w:rFonts w:hint="eastAsia" w:ascii="Times New Roman" w:hAnsi="Times New Roman" w:cs="Times New Roman" w:eastAsiaTheme="minorEastAsia"/>
          <w:color w:val="auto"/>
          <w:lang w:eastAsia="zh-CN"/>
        </w:rPr>
        <w:t>谈判</w:t>
      </w:r>
      <w:r>
        <w:rPr>
          <w:rFonts w:ascii="Times New Roman" w:hAnsi="Times New Roman" w:cs="Times New Roman" w:eastAsiaTheme="minorEastAsia"/>
          <w:color w:val="auto"/>
        </w:rPr>
        <w:t>联系人：</w:t>
      </w:r>
      <w:r>
        <w:rPr>
          <w:rFonts w:hint="eastAsia" w:ascii="Times New Roman" w:hAnsi="Times New Roman" w:cs="Times New Roman" w:eastAsiaTheme="minorEastAsia"/>
          <w:color w:val="auto"/>
          <w:lang w:val="en-US" w:eastAsia="zh-CN"/>
        </w:rPr>
        <w:t>于</w:t>
      </w:r>
      <w:r>
        <w:rPr>
          <w:rFonts w:hint="eastAsia" w:ascii="Times New Roman" w:hAnsi="Times New Roman" w:cs="Times New Roman" w:eastAsiaTheme="minorEastAsia"/>
          <w:color w:val="auto"/>
        </w:rPr>
        <w:t>工，联系电话：</w:t>
      </w:r>
      <w:r>
        <w:rPr>
          <w:rFonts w:hint="eastAsia" w:ascii="Times New Roman" w:hAnsi="Times New Roman" w:cs="Times New Roman" w:eastAsiaTheme="minorEastAsia"/>
          <w:color w:val="auto"/>
          <w:lang w:val="en-US" w:eastAsia="zh-CN"/>
        </w:rPr>
        <w:t>17860611790</w:t>
      </w:r>
    </w:p>
    <w:p w14:paraId="1807BD17">
      <w:pPr>
        <w:adjustRightInd w:val="0"/>
        <w:snapToGrid w:val="0"/>
        <w:spacing w:line="440" w:lineRule="exact"/>
        <w:ind w:firstLine="480" w:firstLineChars="200"/>
        <w:jc w:val="both"/>
        <w:rPr>
          <w:rFonts w:ascii="Times New Roman" w:hAnsi="Times New Roman" w:cs="Times New Roman" w:eastAsiaTheme="minorEastAsia"/>
          <w:color w:val="auto"/>
        </w:rPr>
      </w:pPr>
      <w:r>
        <w:rPr>
          <w:rFonts w:hint="eastAsia" w:ascii="Times New Roman" w:hAnsi="Times New Roman" w:cs="Times New Roman" w:eastAsiaTheme="minorEastAsia"/>
          <w:color w:val="auto"/>
        </w:rPr>
        <w:t>2、技术联系人：范</w:t>
      </w:r>
      <w:r>
        <w:rPr>
          <w:rFonts w:ascii="Times New Roman" w:hAnsi="Times New Roman" w:cs="Times New Roman" w:eastAsiaTheme="minorEastAsia"/>
          <w:color w:val="auto"/>
        </w:rPr>
        <w:t>工，联系电话：0531-8379018</w:t>
      </w:r>
      <w:r>
        <w:rPr>
          <w:rFonts w:hint="eastAsia" w:ascii="Times New Roman" w:hAnsi="Times New Roman" w:cs="Times New Roman" w:eastAsiaTheme="minorEastAsia"/>
          <w:color w:val="auto"/>
        </w:rPr>
        <w:t>1</w:t>
      </w:r>
      <w:r>
        <w:rPr>
          <w:rFonts w:ascii="Times New Roman" w:hAnsi="Times New Roman" w:cs="Times New Roman" w:eastAsiaTheme="minorEastAsia"/>
          <w:color w:val="auto"/>
        </w:rPr>
        <w:t>。</w:t>
      </w:r>
    </w:p>
    <w:p w14:paraId="7BEDD100">
      <w:pPr>
        <w:autoSpaceDE w:val="0"/>
        <w:autoSpaceDN w:val="0"/>
        <w:adjustRightInd w:val="0"/>
        <w:spacing w:line="440" w:lineRule="exact"/>
        <w:rPr>
          <w:rFonts w:ascii="Times New Roman" w:hAnsi="Times New Roman" w:cs="Times New Roman" w:eastAsiaTheme="minorEastAsia"/>
          <w:b/>
          <w:bCs/>
          <w:color w:val="auto"/>
        </w:rPr>
      </w:pPr>
      <w:r>
        <w:rPr>
          <w:rFonts w:ascii="Times New Roman" w:hAnsi="Times New Roman" w:cs="Times New Roman" w:eastAsiaTheme="minorEastAsia"/>
          <w:b/>
          <w:bCs/>
          <w:color w:val="auto"/>
        </w:rPr>
        <w:t>十一、</w:t>
      </w:r>
      <w:r>
        <w:rPr>
          <w:rFonts w:hint="eastAsia" w:ascii="Times New Roman" w:hAnsi="Times New Roman" w:cs="Times New Roman" w:eastAsiaTheme="minorEastAsia"/>
          <w:b/>
          <w:bCs/>
          <w:color w:val="auto"/>
        </w:rPr>
        <w:t>支付方式</w:t>
      </w:r>
    </w:p>
    <w:p w14:paraId="6D77EF4C">
      <w:pPr>
        <w:autoSpaceDE w:val="0"/>
        <w:autoSpaceDN w:val="0"/>
        <w:adjustRightInd w:val="0"/>
        <w:spacing w:line="440" w:lineRule="exact"/>
        <w:ind w:firstLine="480" w:firstLineChars="200"/>
        <w:jc w:val="both"/>
        <w:rPr>
          <w:rFonts w:ascii="Times New Roman" w:hAnsi="Times New Roman" w:cs="Times New Roman" w:eastAsiaTheme="minorEastAsia"/>
          <w:color w:val="auto"/>
          <w:lang w:val="en-US"/>
        </w:rPr>
      </w:pPr>
      <w:r>
        <w:rPr>
          <w:rFonts w:hint="eastAsia" w:ascii="Times New Roman" w:hAnsi="Times New Roman" w:cs="Times New Roman" w:eastAsiaTheme="minorEastAsia"/>
          <w:color w:val="auto"/>
        </w:rPr>
        <w:t>银行转账</w:t>
      </w:r>
    </w:p>
    <w:p w14:paraId="2D243205">
      <w:pPr>
        <w:autoSpaceDE w:val="0"/>
        <w:autoSpaceDN w:val="0"/>
        <w:adjustRightInd w:val="0"/>
        <w:spacing w:line="440" w:lineRule="exact"/>
        <w:jc w:val="both"/>
        <w:rPr>
          <w:rFonts w:ascii="Times New Roman" w:hAnsi="Times New Roman" w:cs="Times New Roman" w:eastAsiaTheme="minorEastAsia"/>
          <w:color w:val="auto"/>
        </w:rPr>
      </w:pPr>
      <w:r>
        <w:rPr>
          <w:rFonts w:hint="eastAsia" w:ascii="Times New Roman" w:hAnsi="Times New Roman" w:cs="Times New Roman" w:eastAsiaTheme="minorEastAsia"/>
          <w:b/>
          <w:bCs/>
          <w:color w:val="auto"/>
        </w:rPr>
        <w:t>十二</w:t>
      </w:r>
      <w:r>
        <w:rPr>
          <w:rFonts w:hint="eastAsia" w:ascii="Times New Roman" w:hAnsi="Times New Roman" w:cs="Times New Roman" w:eastAsiaTheme="minorEastAsia"/>
          <w:color w:val="auto"/>
        </w:rPr>
        <w:t>、</w:t>
      </w:r>
      <w:r>
        <w:rPr>
          <w:rFonts w:ascii="Times New Roman" w:hAnsi="Times New Roman" w:cs="Times New Roman" w:eastAsiaTheme="minorEastAsia"/>
          <w:color w:val="auto"/>
        </w:rPr>
        <w:t>报名及投标人员在本公司的一切活动必须遵守本公司的安全规定。</w:t>
      </w:r>
    </w:p>
    <w:p w14:paraId="609FA396">
      <w:pPr>
        <w:autoSpaceDE w:val="0"/>
        <w:autoSpaceDN w:val="0"/>
        <w:adjustRightInd w:val="0"/>
        <w:spacing w:line="440" w:lineRule="exact"/>
        <w:rPr>
          <w:rFonts w:ascii="Times New Roman" w:hAnsi="Times New Roman" w:cs="Times New Roman" w:eastAsiaTheme="minorEastAsia"/>
          <w:color w:val="auto"/>
        </w:rPr>
      </w:pPr>
      <w:r>
        <w:rPr>
          <w:rFonts w:ascii="Times New Roman" w:hAnsi="Times New Roman" w:cs="Times New Roman" w:eastAsiaTheme="minorEastAsia"/>
          <w:b/>
          <w:color w:val="auto"/>
        </w:rPr>
        <w:t>十</w:t>
      </w:r>
      <w:r>
        <w:rPr>
          <w:rFonts w:hint="eastAsia" w:ascii="Times New Roman" w:hAnsi="Times New Roman" w:cs="Times New Roman" w:eastAsiaTheme="minorEastAsia"/>
          <w:b/>
          <w:color w:val="auto"/>
        </w:rPr>
        <w:t>三</w:t>
      </w:r>
      <w:r>
        <w:rPr>
          <w:rFonts w:ascii="Times New Roman" w:hAnsi="Times New Roman" w:cs="Times New Roman" w:eastAsiaTheme="minorEastAsia"/>
          <w:b/>
          <w:color w:val="auto"/>
        </w:rPr>
        <w:t>、</w:t>
      </w:r>
      <w:r>
        <w:rPr>
          <w:rFonts w:hint="eastAsia" w:ascii="Times New Roman" w:hAnsi="Times New Roman" w:cs="Times New Roman" w:eastAsiaTheme="minorEastAsia"/>
          <w:color w:val="auto"/>
          <w:lang w:eastAsia="zh-CN"/>
        </w:rPr>
        <w:t>谈判</w:t>
      </w:r>
      <w:r>
        <w:rPr>
          <w:rFonts w:hint="eastAsia" w:ascii="Times New Roman" w:hAnsi="Times New Roman" w:cs="Times New Roman" w:eastAsiaTheme="minorEastAsia"/>
          <w:color w:val="auto"/>
        </w:rPr>
        <w:t>内容和其他要求以最终的</w:t>
      </w:r>
      <w:r>
        <w:rPr>
          <w:rFonts w:hint="eastAsia" w:ascii="Times New Roman" w:hAnsi="Times New Roman" w:cs="Times New Roman" w:eastAsiaTheme="minorEastAsia"/>
          <w:color w:val="auto"/>
          <w:lang w:eastAsia="zh-CN"/>
        </w:rPr>
        <w:t>谈判</w:t>
      </w:r>
      <w:r>
        <w:rPr>
          <w:rFonts w:hint="eastAsia" w:ascii="Times New Roman" w:hAnsi="Times New Roman" w:cs="Times New Roman" w:eastAsiaTheme="minorEastAsia"/>
          <w:color w:val="auto"/>
        </w:rPr>
        <w:t>文件为准，未尽事宜，遵照国家相关规定执行</w:t>
      </w:r>
      <w:r>
        <w:rPr>
          <w:rFonts w:ascii="Times New Roman" w:hAnsi="Times New Roman" w:cs="Times New Roman" w:eastAsiaTheme="minorEastAsia"/>
          <w:color w:val="auto"/>
        </w:rPr>
        <w:t>。</w:t>
      </w:r>
    </w:p>
    <w:p w14:paraId="67538D0D">
      <w:pPr>
        <w:spacing w:line="400" w:lineRule="auto"/>
        <w:ind w:firstLine="4200" w:firstLineChars="1500"/>
        <w:rPr>
          <w:rFonts w:ascii="Times New Roman" w:hAnsi="Times New Roman" w:cs="Times New Roman" w:eastAsiaTheme="minorEastAsia"/>
          <w:sz w:val="28"/>
          <w:szCs w:val="28"/>
        </w:rPr>
      </w:pPr>
    </w:p>
    <w:p w14:paraId="0B572A94">
      <w:pPr>
        <w:autoSpaceDE w:val="0"/>
        <w:autoSpaceDN w:val="0"/>
        <w:adjustRightInd w:val="0"/>
        <w:spacing w:line="440" w:lineRule="exact"/>
        <w:ind w:firstLine="5400" w:firstLineChars="2250"/>
        <w:jc w:val="both"/>
        <w:rPr>
          <w:rFonts w:ascii="Times New Roman" w:hAnsi="Times New Roman" w:cs="Times New Roman" w:eastAsiaTheme="minorEastAsia"/>
          <w:color w:val="auto"/>
        </w:rPr>
      </w:pPr>
      <w:r>
        <w:rPr>
          <w:rFonts w:ascii="Times New Roman" w:hAnsi="Times New Roman" w:cs="Times New Roman" w:eastAsiaTheme="minorEastAsia"/>
          <w:color w:val="auto"/>
        </w:rPr>
        <w:t>山东济钢环保新材料有限公司</w:t>
      </w:r>
    </w:p>
    <w:p w14:paraId="2A093719">
      <w:pPr>
        <w:autoSpaceDE w:val="0"/>
        <w:autoSpaceDN w:val="0"/>
        <w:adjustRightInd w:val="0"/>
        <w:spacing w:line="440" w:lineRule="exact"/>
        <w:jc w:val="both"/>
        <w:rPr>
          <w:rFonts w:ascii="Times New Roman" w:hAnsi="Times New Roman" w:cs="Times New Roman" w:eastAsiaTheme="minorEastAsia"/>
          <w:color w:val="FF0000"/>
          <w:highlight w:val="yellow"/>
        </w:rPr>
      </w:pPr>
      <w:r>
        <w:rPr>
          <w:rFonts w:ascii="Times New Roman" w:hAnsi="Times New Roman" w:cs="Times New Roman" w:eastAsiaTheme="minorEastAsia"/>
          <w:color w:val="auto"/>
        </w:rPr>
        <w:t xml:space="preserve">                                                                                                     </w:t>
      </w:r>
      <w:r>
        <w:rPr>
          <w:rFonts w:ascii="Times New Roman" w:hAnsi="Times New Roman" w:cs="Times New Roman" w:eastAsiaTheme="minorEastAsia"/>
          <w:color w:val="auto"/>
          <w:highlight w:val="none"/>
        </w:rPr>
        <w:t xml:space="preserve">    202</w:t>
      </w:r>
      <w:r>
        <w:rPr>
          <w:rFonts w:hint="eastAsia" w:ascii="Times New Roman" w:hAnsi="Times New Roman" w:cs="Times New Roman" w:eastAsiaTheme="minorEastAsia"/>
          <w:color w:val="auto"/>
          <w:highlight w:val="none"/>
          <w:lang w:val="en-US"/>
        </w:rPr>
        <w:t>6</w:t>
      </w:r>
      <w:r>
        <w:rPr>
          <w:rFonts w:ascii="Times New Roman" w:hAnsi="Times New Roman" w:cs="Times New Roman" w:eastAsiaTheme="minorEastAsia"/>
          <w:color w:val="auto"/>
          <w:highlight w:val="none"/>
        </w:rPr>
        <w:t xml:space="preserve">年 </w:t>
      </w:r>
      <w:r>
        <w:rPr>
          <w:rFonts w:hint="eastAsia" w:ascii="Times New Roman" w:hAnsi="Times New Roman" w:cs="Times New Roman" w:eastAsiaTheme="minorEastAsia"/>
          <w:color w:val="auto"/>
          <w:highlight w:val="none"/>
          <w:lang w:val="en-US" w:eastAsia="zh-CN"/>
        </w:rPr>
        <w:t>1</w:t>
      </w:r>
      <w:r>
        <w:rPr>
          <w:rFonts w:ascii="Times New Roman" w:hAnsi="Times New Roman" w:cs="Times New Roman" w:eastAsiaTheme="minorEastAsia"/>
          <w:color w:val="auto"/>
          <w:highlight w:val="none"/>
        </w:rPr>
        <w:t>月</w:t>
      </w:r>
      <w:r>
        <w:rPr>
          <w:rFonts w:hint="eastAsia" w:ascii="Times New Roman" w:hAnsi="Times New Roman" w:cs="Times New Roman" w:eastAsiaTheme="minorEastAsia"/>
          <w:color w:val="auto"/>
          <w:highlight w:val="none"/>
          <w:lang w:val="en-US" w:eastAsia="zh-CN"/>
        </w:rPr>
        <w:t>8</w:t>
      </w:r>
      <w:r>
        <w:rPr>
          <w:rFonts w:ascii="Times New Roman" w:hAnsi="Times New Roman" w:cs="Times New Roman" w:eastAsiaTheme="minorEastAsia"/>
          <w:color w:val="auto"/>
          <w:highlight w:val="none"/>
        </w:rPr>
        <w:t>日</w:t>
      </w:r>
    </w:p>
    <w:p w14:paraId="3E9390ED">
      <w:pPr>
        <w:rPr>
          <w:rFonts w:ascii="Times New Roman" w:hAnsi="Times New Roman" w:cs="Times New Roman" w:eastAsiaTheme="minorEastAsia"/>
        </w:rPr>
      </w:pPr>
    </w:p>
    <w:p w14:paraId="3E2B9B94">
      <w:pPr>
        <w:pStyle w:val="2"/>
        <w:spacing w:line="440" w:lineRule="exact"/>
        <w:jc w:val="center"/>
        <w:rPr>
          <w:bCs w:val="0"/>
          <w:szCs w:val="36"/>
        </w:rPr>
      </w:pPr>
      <w:r>
        <w:rPr>
          <w:rFonts w:eastAsiaTheme="minorEastAsia"/>
          <w:color w:val="FF0000"/>
        </w:rPr>
        <w:br w:type="page"/>
      </w:r>
      <w:bookmarkStart w:id="4" w:name="_Toc218261872"/>
      <w:bookmarkStart w:id="5" w:name="_Toc218261991"/>
      <w:r>
        <w:rPr>
          <w:rFonts w:ascii="Times New Roman" w:hAnsi="Times New Roman" w:cs="Times New Roman" w:eastAsiaTheme="minorEastAsia"/>
          <w:szCs w:val="36"/>
        </w:rPr>
        <w:t>第二章  投标人须知</w:t>
      </w:r>
      <w:bookmarkEnd w:id="4"/>
      <w:bookmarkEnd w:id="5"/>
    </w:p>
    <w:p w14:paraId="29FC618C">
      <w:pPr>
        <w:pStyle w:val="121"/>
        <w:spacing w:line="360" w:lineRule="auto"/>
        <w:rPr>
          <w:sz w:val="30"/>
          <w:szCs w:val="30"/>
        </w:rPr>
      </w:pPr>
      <w:r>
        <w:rPr>
          <w:sz w:val="30"/>
          <w:szCs w:val="30"/>
        </w:rPr>
        <w:t>投标人须知前附表</w:t>
      </w:r>
    </w:p>
    <w:tbl>
      <w:tblPr>
        <w:tblStyle w:val="23"/>
        <w:tblW w:w="976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86"/>
        <w:gridCol w:w="1532"/>
        <w:gridCol w:w="7138"/>
        <w:gridCol w:w="13"/>
      </w:tblGrid>
      <w:tr w14:paraId="5ECA34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4" w:hRule="atLeast"/>
          <w:jc w:val="center"/>
        </w:trPr>
        <w:tc>
          <w:tcPr>
            <w:tcW w:w="1086" w:type="dxa"/>
            <w:vAlign w:val="center"/>
          </w:tcPr>
          <w:p w14:paraId="5236F719">
            <w:pPr>
              <w:spacing w:line="400" w:lineRule="exact"/>
              <w:jc w:val="center"/>
              <w:rPr>
                <w:rFonts w:ascii="Times New Roman" w:hAnsi="Times New Roman" w:cs="Times New Roman"/>
                <w:b/>
              </w:rPr>
            </w:pPr>
            <w:bookmarkStart w:id="6" w:name="_Hlk155164350"/>
            <w:r>
              <w:rPr>
                <w:rFonts w:ascii="Times New Roman" w:hAnsi="Times New Roman" w:cs="Times New Roman"/>
                <w:b/>
              </w:rPr>
              <w:t>条款号</w:t>
            </w:r>
          </w:p>
        </w:tc>
        <w:tc>
          <w:tcPr>
            <w:tcW w:w="1532" w:type="dxa"/>
            <w:vAlign w:val="center"/>
          </w:tcPr>
          <w:p w14:paraId="21B25F9D">
            <w:pPr>
              <w:spacing w:line="400" w:lineRule="exact"/>
              <w:jc w:val="center"/>
              <w:rPr>
                <w:rFonts w:ascii="Times New Roman" w:hAnsi="Times New Roman" w:cs="Times New Roman"/>
                <w:b/>
              </w:rPr>
            </w:pPr>
            <w:r>
              <w:rPr>
                <w:rFonts w:ascii="Times New Roman" w:hAnsi="Times New Roman" w:cs="Times New Roman"/>
                <w:b/>
              </w:rPr>
              <w:t>条款名称</w:t>
            </w:r>
          </w:p>
        </w:tc>
        <w:tc>
          <w:tcPr>
            <w:tcW w:w="7151" w:type="dxa"/>
            <w:gridSpan w:val="2"/>
            <w:vAlign w:val="center"/>
          </w:tcPr>
          <w:p w14:paraId="530AC23B">
            <w:pPr>
              <w:spacing w:line="340" w:lineRule="exact"/>
              <w:jc w:val="center"/>
              <w:rPr>
                <w:rFonts w:ascii="Times New Roman" w:hAnsi="Times New Roman" w:cs="Times New Roman"/>
                <w:b/>
              </w:rPr>
            </w:pPr>
            <w:r>
              <w:rPr>
                <w:rFonts w:ascii="Times New Roman" w:hAnsi="Times New Roman" w:cs="Times New Roman"/>
                <w:b/>
              </w:rPr>
              <w:t>编列内容</w:t>
            </w:r>
          </w:p>
        </w:tc>
      </w:tr>
      <w:tr w14:paraId="04AE12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7" w:hRule="atLeast"/>
          <w:jc w:val="center"/>
        </w:trPr>
        <w:tc>
          <w:tcPr>
            <w:tcW w:w="1086" w:type="dxa"/>
            <w:vAlign w:val="center"/>
          </w:tcPr>
          <w:p w14:paraId="0E3E1ED8">
            <w:pPr>
              <w:jc w:val="center"/>
              <w:rPr>
                <w:rFonts w:ascii="Times New Roman" w:hAnsi="Times New Roman" w:cs="Times New Roman"/>
              </w:rPr>
            </w:pPr>
            <w:r>
              <w:rPr>
                <w:rFonts w:ascii="Times New Roman" w:hAnsi="Times New Roman" w:cs="Times New Roman"/>
              </w:rPr>
              <w:t>1.1.1</w:t>
            </w:r>
          </w:p>
        </w:tc>
        <w:tc>
          <w:tcPr>
            <w:tcW w:w="1532" w:type="dxa"/>
            <w:vAlign w:val="center"/>
          </w:tcPr>
          <w:p w14:paraId="003203F0">
            <w:pPr>
              <w:jc w:val="center"/>
              <w:rPr>
                <w:rFonts w:ascii="Times New Roman" w:hAnsi="Times New Roman" w:cs="Times New Roman"/>
              </w:rPr>
            </w:pPr>
            <w:r>
              <w:rPr>
                <w:rFonts w:hint="eastAsia" w:ascii="Times New Roman" w:hAnsi="Times New Roman" w:cs="Times New Roman"/>
                <w:lang w:eastAsia="zh-CN"/>
              </w:rPr>
              <w:t>谈判</w:t>
            </w:r>
            <w:r>
              <w:rPr>
                <w:rFonts w:ascii="Times New Roman" w:hAnsi="Times New Roman" w:cs="Times New Roman"/>
              </w:rPr>
              <w:t>人</w:t>
            </w:r>
          </w:p>
        </w:tc>
        <w:tc>
          <w:tcPr>
            <w:tcW w:w="7151" w:type="dxa"/>
            <w:gridSpan w:val="2"/>
            <w:vAlign w:val="center"/>
          </w:tcPr>
          <w:p w14:paraId="19CDBBE5">
            <w:pPr>
              <w:spacing w:line="340" w:lineRule="exact"/>
              <w:rPr>
                <w:rFonts w:ascii="Times New Roman" w:hAnsi="Times New Roman" w:cs="Times New Roman"/>
              </w:rPr>
            </w:pPr>
            <w:r>
              <w:rPr>
                <w:rFonts w:ascii="Times New Roman" w:hAnsi="Times New Roman" w:cs="Times New Roman"/>
              </w:rPr>
              <w:t>山东济钢环保新材料有限公司</w:t>
            </w:r>
          </w:p>
        </w:tc>
      </w:tr>
      <w:tr w14:paraId="3844C2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3" w:hRule="atLeast"/>
          <w:jc w:val="center"/>
        </w:trPr>
        <w:tc>
          <w:tcPr>
            <w:tcW w:w="1086" w:type="dxa"/>
            <w:vAlign w:val="center"/>
          </w:tcPr>
          <w:p w14:paraId="25045224">
            <w:pPr>
              <w:jc w:val="center"/>
              <w:rPr>
                <w:rFonts w:ascii="Times New Roman" w:hAnsi="Times New Roman" w:cs="Times New Roman"/>
              </w:rPr>
            </w:pPr>
            <w:r>
              <w:rPr>
                <w:rFonts w:ascii="Times New Roman" w:hAnsi="Times New Roman" w:cs="Times New Roman"/>
              </w:rPr>
              <w:t>1.1.2</w:t>
            </w:r>
          </w:p>
        </w:tc>
        <w:tc>
          <w:tcPr>
            <w:tcW w:w="1532" w:type="dxa"/>
            <w:vAlign w:val="center"/>
          </w:tcPr>
          <w:p w14:paraId="31CFE383">
            <w:pPr>
              <w:jc w:val="center"/>
              <w:rPr>
                <w:rFonts w:ascii="Times New Roman" w:hAnsi="Times New Roman" w:cs="Times New Roman"/>
              </w:rPr>
            </w:pPr>
            <w:r>
              <w:rPr>
                <w:rFonts w:ascii="Times New Roman" w:hAnsi="Times New Roman" w:cs="Times New Roman"/>
              </w:rPr>
              <w:t>项目名称</w:t>
            </w:r>
          </w:p>
        </w:tc>
        <w:tc>
          <w:tcPr>
            <w:tcW w:w="7151" w:type="dxa"/>
            <w:gridSpan w:val="2"/>
            <w:vAlign w:val="center"/>
          </w:tcPr>
          <w:p w14:paraId="0F57D9A2">
            <w:pPr>
              <w:spacing w:line="340" w:lineRule="exact"/>
              <w:rPr>
                <w:rFonts w:ascii="Times New Roman" w:hAnsi="Times New Roman" w:cs="Times New Roman"/>
              </w:rPr>
            </w:pPr>
            <w:r>
              <w:rPr>
                <w:rFonts w:ascii="Times New Roman" w:hAnsi="Times New Roman" w:cs="Times New Roman"/>
              </w:rPr>
              <w:t>山东济钢环保新材料有限公司</w:t>
            </w:r>
            <w:r>
              <w:rPr>
                <w:rFonts w:hint="eastAsia" w:ascii="Times New Roman" w:hAnsi="Times New Roman" w:cs="Times New Roman"/>
              </w:rPr>
              <w:t>2025年度绿色矿山建设提升项目工程监理</w:t>
            </w:r>
          </w:p>
        </w:tc>
      </w:tr>
      <w:tr w14:paraId="405BAA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87" w:hRule="exact"/>
          <w:jc w:val="center"/>
        </w:trPr>
        <w:tc>
          <w:tcPr>
            <w:tcW w:w="1086" w:type="dxa"/>
            <w:vAlign w:val="center"/>
          </w:tcPr>
          <w:p w14:paraId="40E4316F">
            <w:pPr>
              <w:jc w:val="center"/>
              <w:rPr>
                <w:rFonts w:ascii="Times New Roman" w:hAnsi="Times New Roman" w:cs="Times New Roman"/>
              </w:rPr>
            </w:pPr>
            <w:r>
              <w:rPr>
                <w:rFonts w:ascii="Times New Roman" w:hAnsi="Times New Roman" w:cs="Times New Roman"/>
              </w:rPr>
              <w:t>1.1.3</w:t>
            </w:r>
          </w:p>
        </w:tc>
        <w:tc>
          <w:tcPr>
            <w:tcW w:w="1532" w:type="dxa"/>
            <w:vAlign w:val="center"/>
          </w:tcPr>
          <w:p w14:paraId="0D4934A3">
            <w:pPr>
              <w:spacing w:line="240" w:lineRule="atLeast"/>
              <w:jc w:val="center"/>
              <w:rPr>
                <w:rFonts w:ascii="Times New Roman" w:hAnsi="Times New Roman" w:cs="Times New Roman"/>
              </w:rPr>
            </w:pPr>
            <w:r>
              <w:rPr>
                <w:rFonts w:ascii="Times New Roman" w:hAnsi="Times New Roman" w:cs="Times New Roman"/>
              </w:rPr>
              <w:t>项目概况</w:t>
            </w:r>
          </w:p>
        </w:tc>
        <w:tc>
          <w:tcPr>
            <w:tcW w:w="7151" w:type="dxa"/>
            <w:gridSpan w:val="2"/>
            <w:vAlign w:val="center"/>
          </w:tcPr>
          <w:p w14:paraId="4C75055D">
            <w:pPr>
              <w:autoSpaceDE w:val="0"/>
              <w:autoSpaceDN w:val="0"/>
              <w:adjustRightInd w:val="0"/>
              <w:spacing w:line="340" w:lineRule="exact"/>
              <w:ind w:firstLine="480" w:firstLineChars="200"/>
              <w:rPr>
                <w:rFonts w:ascii="Times New Roman" w:hAnsi="Times New Roman" w:cs="Times New Roman"/>
              </w:rPr>
            </w:pPr>
            <w:r>
              <w:rPr>
                <w:rFonts w:hint="eastAsia" w:ascii="Times New Roman" w:hAnsi="Times New Roman" w:cs="Times New Roman"/>
              </w:rPr>
              <w:t>2025年度绿色矿山建设提升项目投资额</w:t>
            </w:r>
            <w:r>
              <w:rPr>
                <w:rFonts w:hint="eastAsia" w:ascii="Times New Roman" w:hAnsi="Times New Roman" w:cs="Times New Roman"/>
                <w:shd w:val="clear" w:color="auto"/>
              </w:rPr>
              <w:t>约280万元</w:t>
            </w:r>
            <w:r>
              <w:rPr>
                <w:rFonts w:hint="eastAsia" w:ascii="Times New Roman" w:hAnsi="Times New Roman" w:cs="Times New Roman"/>
              </w:rPr>
              <w:t>。项目计划建设工期为9个月。项目主要建设内容为边坡绿化提升治理及破损道路提升改造等，边坡绿化提升治理主要包含绿化治理面积约7500m</w:t>
            </w:r>
            <w:r>
              <w:rPr>
                <w:rFonts w:hint="eastAsia" w:ascii="Times New Roman" w:hAnsi="Times New Roman" w:cs="Times New Roman"/>
                <w:vertAlign w:val="superscript"/>
              </w:rPr>
              <w:t>2</w:t>
            </w:r>
            <w:r>
              <w:rPr>
                <w:rFonts w:hint="eastAsia" w:ascii="Times New Roman" w:hAnsi="Times New Roman" w:cs="Times New Roman"/>
              </w:rPr>
              <w:t>、砌筑挡土墙约930m</w:t>
            </w:r>
            <w:r>
              <w:rPr>
                <w:rFonts w:hint="eastAsia" w:ascii="Times New Roman" w:hAnsi="Times New Roman" w:cs="Times New Roman"/>
                <w:vertAlign w:val="superscript"/>
              </w:rPr>
              <w:t>3</w:t>
            </w:r>
            <w:r>
              <w:rPr>
                <w:rFonts w:hint="eastAsia" w:ascii="Times New Roman" w:hAnsi="Times New Roman" w:cs="Times New Roman"/>
              </w:rPr>
              <w:t>、苗木种植等施工内容；破损道路提升改造主要包含：挖除原破损道路，新修沥青混凝土道路，道路提升改造面积约4500m</w:t>
            </w:r>
            <w:r>
              <w:rPr>
                <w:rFonts w:hint="eastAsia" w:ascii="Times New Roman" w:hAnsi="Times New Roman" w:cs="Times New Roman"/>
                <w:vertAlign w:val="superscript"/>
              </w:rPr>
              <w:t>2</w:t>
            </w:r>
            <w:r>
              <w:rPr>
                <w:rFonts w:hint="eastAsia" w:ascii="Times New Roman" w:hAnsi="Times New Roman" w:cs="Times New Roman"/>
              </w:rPr>
              <w:t>。</w:t>
            </w:r>
            <w:r>
              <w:rPr>
                <w:rFonts w:hint="eastAsia" w:ascii="Times New Roman" w:hAnsi="Times New Roman" w:cs="Times New Roman"/>
                <w:lang w:eastAsia="zh-CN"/>
              </w:rPr>
              <w:t>谈判</w:t>
            </w:r>
            <w:r>
              <w:rPr>
                <w:rFonts w:hint="eastAsia" w:ascii="Times New Roman" w:hAnsi="Times New Roman" w:cs="Times New Roman"/>
              </w:rPr>
              <w:t>范围2025年度绿色矿山建设提升项目施工工程量清单等全部工程内容的施工、缺陷责任期阶段工程监理等。</w:t>
            </w:r>
          </w:p>
        </w:tc>
      </w:tr>
      <w:tr w14:paraId="4209A3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1" w:hRule="exact"/>
          <w:jc w:val="center"/>
        </w:trPr>
        <w:tc>
          <w:tcPr>
            <w:tcW w:w="1086" w:type="dxa"/>
            <w:vAlign w:val="center"/>
          </w:tcPr>
          <w:p w14:paraId="17B4A1DE">
            <w:pPr>
              <w:jc w:val="center"/>
              <w:rPr>
                <w:rFonts w:ascii="Times New Roman" w:hAnsi="Times New Roman" w:cs="Times New Roman"/>
              </w:rPr>
            </w:pPr>
            <w:r>
              <w:rPr>
                <w:rFonts w:ascii="Times New Roman" w:hAnsi="Times New Roman" w:cs="Times New Roman"/>
              </w:rPr>
              <w:t>1.1.4</w:t>
            </w:r>
          </w:p>
        </w:tc>
        <w:tc>
          <w:tcPr>
            <w:tcW w:w="1532" w:type="dxa"/>
            <w:vAlign w:val="center"/>
          </w:tcPr>
          <w:p w14:paraId="07B26CE3">
            <w:pPr>
              <w:spacing w:line="240" w:lineRule="atLeast"/>
              <w:jc w:val="center"/>
              <w:rPr>
                <w:rFonts w:ascii="Times New Roman" w:hAnsi="Times New Roman" w:cs="Times New Roman"/>
              </w:rPr>
            </w:pPr>
            <w:r>
              <w:rPr>
                <w:rFonts w:ascii="Times New Roman" w:hAnsi="Times New Roman" w:cs="Times New Roman"/>
              </w:rPr>
              <w:t>项目地点</w:t>
            </w:r>
          </w:p>
        </w:tc>
        <w:tc>
          <w:tcPr>
            <w:tcW w:w="7151" w:type="dxa"/>
            <w:gridSpan w:val="2"/>
            <w:vAlign w:val="center"/>
          </w:tcPr>
          <w:p w14:paraId="6307EC85">
            <w:pPr>
              <w:spacing w:line="340" w:lineRule="exact"/>
              <w:rPr>
                <w:rFonts w:ascii="Times New Roman" w:hAnsi="Times New Roman" w:cs="Times New Roman"/>
              </w:rPr>
            </w:pPr>
            <w:r>
              <w:rPr>
                <w:rFonts w:ascii="Times New Roman" w:hAnsi="Times New Roman" w:cs="Times New Roman"/>
              </w:rPr>
              <w:t>山东省济南市章丘区官庄街道山东济钢环保新材料有限公司</w:t>
            </w:r>
          </w:p>
        </w:tc>
      </w:tr>
      <w:tr w14:paraId="621FE7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6" w:hRule="exact"/>
          <w:jc w:val="center"/>
        </w:trPr>
        <w:tc>
          <w:tcPr>
            <w:tcW w:w="1086" w:type="dxa"/>
            <w:vAlign w:val="center"/>
          </w:tcPr>
          <w:p w14:paraId="06C00EED">
            <w:pPr>
              <w:jc w:val="center"/>
              <w:rPr>
                <w:rFonts w:ascii="Times New Roman" w:hAnsi="Times New Roman" w:cs="Times New Roman"/>
              </w:rPr>
            </w:pPr>
            <w:r>
              <w:rPr>
                <w:rFonts w:ascii="Times New Roman" w:hAnsi="Times New Roman" w:cs="Times New Roman"/>
              </w:rPr>
              <w:t>1.2.1</w:t>
            </w:r>
          </w:p>
        </w:tc>
        <w:tc>
          <w:tcPr>
            <w:tcW w:w="1532" w:type="dxa"/>
            <w:vAlign w:val="center"/>
          </w:tcPr>
          <w:p w14:paraId="1109433D">
            <w:pPr>
              <w:spacing w:line="240" w:lineRule="atLeast"/>
              <w:jc w:val="center"/>
              <w:rPr>
                <w:rFonts w:ascii="Times New Roman" w:hAnsi="Times New Roman" w:cs="Times New Roman"/>
              </w:rPr>
            </w:pPr>
            <w:r>
              <w:rPr>
                <w:rFonts w:ascii="Times New Roman" w:hAnsi="Times New Roman" w:cs="Times New Roman"/>
              </w:rPr>
              <w:t>资金来源</w:t>
            </w:r>
          </w:p>
        </w:tc>
        <w:tc>
          <w:tcPr>
            <w:tcW w:w="7151" w:type="dxa"/>
            <w:gridSpan w:val="2"/>
            <w:vAlign w:val="center"/>
          </w:tcPr>
          <w:p w14:paraId="2B6523EC">
            <w:pPr>
              <w:spacing w:line="340" w:lineRule="exact"/>
              <w:rPr>
                <w:rFonts w:ascii="Times New Roman" w:hAnsi="Times New Roman" w:cs="Times New Roman"/>
              </w:rPr>
            </w:pPr>
            <w:r>
              <w:rPr>
                <w:rFonts w:ascii="Times New Roman" w:hAnsi="Times New Roman" w:cs="Times New Roman"/>
              </w:rPr>
              <w:t>自有资金</w:t>
            </w:r>
          </w:p>
        </w:tc>
      </w:tr>
      <w:tr w14:paraId="7CF556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exact"/>
          <w:jc w:val="center"/>
        </w:trPr>
        <w:tc>
          <w:tcPr>
            <w:tcW w:w="1086" w:type="dxa"/>
            <w:vAlign w:val="center"/>
          </w:tcPr>
          <w:p w14:paraId="7CFC5B7C">
            <w:pPr>
              <w:jc w:val="center"/>
              <w:rPr>
                <w:rFonts w:ascii="Times New Roman" w:hAnsi="Times New Roman" w:cs="Times New Roman"/>
              </w:rPr>
            </w:pPr>
            <w:r>
              <w:rPr>
                <w:rFonts w:ascii="Times New Roman" w:hAnsi="Times New Roman" w:cs="Times New Roman"/>
              </w:rPr>
              <w:t>1.2.2</w:t>
            </w:r>
          </w:p>
        </w:tc>
        <w:tc>
          <w:tcPr>
            <w:tcW w:w="1532" w:type="dxa"/>
            <w:vAlign w:val="center"/>
          </w:tcPr>
          <w:p w14:paraId="784EAFC9">
            <w:pPr>
              <w:spacing w:line="240" w:lineRule="atLeast"/>
              <w:jc w:val="center"/>
              <w:rPr>
                <w:rFonts w:ascii="Times New Roman" w:hAnsi="Times New Roman" w:cs="Times New Roman"/>
              </w:rPr>
            </w:pPr>
            <w:r>
              <w:rPr>
                <w:rFonts w:hint="eastAsia" w:ascii="Times New Roman" w:hAnsi="Times New Roman" w:cs="Times New Roman"/>
                <w:lang w:eastAsia="zh-CN"/>
              </w:rPr>
              <w:t>谈判</w:t>
            </w:r>
            <w:r>
              <w:rPr>
                <w:rFonts w:ascii="Times New Roman" w:hAnsi="Times New Roman" w:cs="Times New Roman"/>
              </w:rPr>
              <w:t>方式</w:t>
            </w:r>
          </w:p>
        </w:tc>
        <w:tc>
          <w:tcPr>
            <w:tcW w:w="7151" w:type="dxa"/>
            <w:gridSpan w:val="2"/>
            <w:vAlign w:val="center"/>
          </w:tcPr>
          <w:p w14:paraId="7DBAA914">
            <w:pPr>
              <w:spacing w:line="340" w:lineRule="exact"/>
              <w:rPr>
                <w:rFonts w:ascii="Times New Roman" w:hAnsi="Times New Roman" w:cs="Times New Roman"/>
              </w:rPr>
            </w:pPr>
            <w:r>
              <w:rPr>
                <w:rFonts w:hint="eastAsia" w:ascii="Times New Roman" w:hAnsi="Times New Roman" w:cs="Times New Roman"/>
              </w:rPr>
              <w:t>竞争性谈判</w:t>
            </w:r>
            <w:r>
              <w:rPr>
                <w:rFonts w:ascii="Times New Roman" w:hAnsi="Times New Roman" w:cs="Times New Roman"/>
              </w:rPr>
              <w:t>，资格后审</w:t>
            </w:r>
          </w:p>
        </w:tc>
      </w:tr>
      <w:tr w14:paraId="714D5E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53" w:hRule="exact"/>
          <w:jc w:val="center"/>
        </w:trPr>
        <w:tc>
          <w:tcPr>
            <w:tcW w:w="1086" w:type="dxa"/>
            <w:vAlign w:val="center"/>
          </w:tcPr>
          <w:p w14:paraId="6AF9F9E9">
            <w:pPr>
              <w:jc w:val="center"/>
              <w:rPr>
                <w:rFonts w:ascii="Times New Roman" w:hAnsi="Times New Roman" w:cs="Times New Roman"/>
              </w:rPr>
            </w:pPr>
            <w:r>
              <w:rPr>
                <w:rFonts w:ascii="Times New Roman" w:hAnsi="Times New Roman" w:cs="Times New Roman"/>
              </w:rPr>
              <w:t>1.3.1</w:t>
            </w:r>
          </w:p>
        </w:tc>
        <w:tc>
          <w:tcPr>
            <w:tcW w:w="1532" w:type="dxa"/>
            <w:vAlign w:val="center"/>
          </w:tcPr>
          <w:p w14:paraId="12F54FD1">
            <w:pPr>
              <w:spacing w:line="360" w:lineRule="exact"/>
              <w:jc w:val="center"/>
              <w:rPr>
                <w:rFonts w:ascii="Times New Roman" w:hAnsi="Times New Roman" w:cs="Times New Roman"/>
                <w:highlight w:val="yellow"/>
              </w:rPr>
            </w:pPr>
            <w:r>
              <w:rPr>
                <w:rFonts w:hint="eastAsia" w:ascii="Times New Roman" w:hAnsi="Times New Roman" w:cs="Times New Roman"/>
                <w:lang w:eastAsia="zh-CN"/>
              </w:rPr>
              <w:t>谈判</w:t>
            </w:r>
            <w:r>
              <w:rPr>
                <w:rFonts w:ascii="Times New Roman" w:hAnsi="Times New Roman" w:cs="Times New Roman"/>
              </w:rPr>
              <w:t>范围</w:t>
            </w:r>
          </w:p>
        </w:tc>
        <w:tc>
          <w:tcPr>
            <w:tcW w:w="7151" w:type="dxa"/>
            <w:gridSpan w:val="2"/>
            <w:vAlign w:val="center"/>
          </w:tcPr>
          <w:p w14:paraId="6803B541">
            <w:pPr>
              <w:spacing w:line="360" w:lineRule="auto"/>
              <w:rPr>
                <w:rFonts w:ascii="Times New Roman" w:hAnsi="Times New Roman" w:cs="Times New Roman"/>
                <w:highlight w:val="yellow"/>
              </w:rPr>
            </w:pPr>
            <w:r>
              <w:rPr>
                <w:rFonts w:hint="eastAsia" w:ascii="Times New Roman" w:hAnsi="Times New Roman" w:cs="Times New Roman"/>
              </w:rPr>
              <w:t>2025年度绿色矿山建设提升项目工程量清单等全部工程内容的施工、缺陷责任期阶段工程监理等。</w:t>
            </w:r>
          </w:p>
        </w:tc>
      </w:tr>
      <w:tr w14:paraId="6EBAC0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0" w:hRule="exact"/>
          <w:jc w:val="center"/>
        </w:trPr>
        <w:tc>
          <w:tcPr>
            <w:tcW w:w="1086" w:type="dxa"/>
            <w:vAlign w:val="center"/>
          </w:tcPr>
          <w:p w14:paraId="40300156">
            <w:pPr>
              <w:spacing w:line="240" w:lineRule="atLeast"/>
              <w:jc w:val="center"/>
              <w:rPr>
                <w:rFonts w:ascii="Times New Roman" w:hAnsi="Times New Roman" w:cs="Times New Roman"/>
              </w:rPr>
            </w:pPr>
            <w:r>
              <w:rPr>
                <w:rFonts w:ascii="Times New Roman" w:hAnsi="Times New Roman" w:cs="Times New Roman"/>
              </w:rPr>
              <w:t>1.3.2</w:t>
            </w:r>
          </w:p>
        </w:tc>
        <w:tc>
          <w:tcPr>
            <w:tcW w:w="1532" w:type="dxa"/>
            <w:vAlign w:val="center"/>
          </w:tcPr>
          <w:p w14:paraId="0CB0252D">
            <w:pPr>
              <w:spacing w:line="240" w:lineRule="atLeast"/>
              <w:jc w:val="center"/>
              <w:rPr>
                <w:rFonts w:ascii="Times New Roman" w:hAnsi="Times New Roman" w:cs="Times New Roman"/>
              </w:rPr>
            </w:pPr>
            <w:r>
              <w:rPr>
                <w:rFonts w:ascii="Times New Roman" w:hAnsi="Times New Roman" w:cs="Times New Roman"/>
              </w:rPr>
              <w:t>服务周期</w:t>
            </w:r>
          </w:p>
        </w:tc>
        <w:tc>
          <w:tcPr>
            <w:tcW w:w="7151" w:type="dxa"/>
            <w:gridSpan w:val="2"/>
            <w:vAlign w:val="center"/>
          </w:tcPr>
          <w:p w14:paraId="5C8ED629">
            <w:pPr>
              <w:spacing w:line="340" w:lineRule="exact"/>
              <w:rPr>
                <w:rFonts w:ascii="Times New Roman" w:hAnsi="Times New Roman" w:cs="Times New Roman"/>
              </w:rPr>
            </w:pPr>
            <w:r>
              <w:rPr>
                <w:rFonts w:hint="eastAsia" w:ascii="Times New Roman" w:hAnsi="Times New Roman" w:cs="Times New Roman"/>
                <w:b/>
              </w:rPr>
              <w:t>阶段性施工，合计3个月（</w:t>
            </w:r>
            <w:r>
              <w:rPr>
                <w:rFonts w:hint="eastAsia" w:ascii="Times New Roman" w:hAnsi="Times New Roman" w:cs="Times New Roman"/>
                <w:b/>
                <w:lang w:val="en-US"/>
              </w:rPr>
              <w:t>边坡绿化提升治理施工工期约2个月；破损道路提升改造施工工期约1个月</w:t>
            </w:r>
            <w:r>
              <w:rPr>
                <w:rFonts w:hint="eastAsia" w:ascii="Times New Roman" w:hAnsi="Times New Roman" w:cs="Times New Roman"/>
                <w:b/>
              </w:rPr>
              <w:t>）</w:t>
            </w:r>
          </w:p>
        </w:tc>
      </w:tr>
      <w:tr w14:paraId="6F1EBB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6" w:hRule="exact"/>
          <w:jc w:val="center"/>
        </w:trPr>
        <w:tc>
          <w:tcPr>
            <w:tcW w:w="1086" w:type="dxa"/>
            <w:vAlign w:val="center"/>
          </w:tcPr>
          <w:p w14:paraId="0D6B8406">
            <w:pPr>
              <w:spacing w:line="240" w:lineRule="atLeast"/>
              <w:jc w:val="center"/>
              <w:rPr>
                <w:rFonts w:ascii="Times New Roman" w:hAnsi="Times New Roman" w:cs="Times New Roman"/>
              </w:rPr>
            </w:pPr>
            <w:r>
              <w:rPr>
                <w:rFonts w:ascii="Times New Roman" w:hAnsi="Times New Roman" w:cs="Times New Roman"/>
              </w:rPr>
              <w:t>1.3.3</w:t>
            </w:r>
          </w:p>
        </w:tc>
        <w:tc>
          <w:tcPr>
            <w:tcW w:w="1532" w:type="dxa"/>
            <w:vAlign w:val="center"/>
          </w:tcPr>
          <w:p w14:paraId="70B48F73">
            <w:pPr>
              <w:spacing w:line="240" w:lineRule="atLeast"/>
              <w:jc w:val="center"/>
              <w:rPr>
                <w:rFonts w:ascii="Times New Roman" w:hAnsi="Times New Roman" w:cs="Times New Roman"/>
              </w:rPr>
            </w:pPr>
            <w:r>
              <w:rPr>
                <w:rFonts w:ascii="Times New Roman" w:hAnsi="Times New Roman" w:cs="Times New Roman"/>
              </w:rPr>
              <w:t>服务地点</w:t>
            </w:r>
          </w:p>
        </w:tc>
        <w:tc>
          <w:tcPr>
            <w:tcW w:w="7151" w:type="dxa"/>
            <w:gridSpan w:val="2"/>
            <w:vAlign w:val="center"/>
          </w:tcPr>
          <w:p w14:paraId="59F03499">
            <w:pPr>
              <w:spacing w:line="340" w:lineRule="exact"/>
              <w:rPr>
                <w:rFonts w:ascii="Times New Roman" w:hAnsi="Times New Roman" w:cs="Times New Roman"/>
                <w:b/>
              </w:rPr>
            </w:pPr>
            <w:r>
              <w:rPr>
                <w:rFonts w:ascii="Times New Roman" w:hAnsi="Times New Roman" w:cs="Times New Roman"/>
              </w:rPr>
              <w:t>山东济钢环保新材料有限公司（济南市章丘区官庄街道青野村东）</w:t>
            </w:r>
          </w:p>
        </w:tc>
      </w:tr>
      <w:tr w14:paraId="20A512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jc w:val="center"/>
        </w:trPr>
        <w:tc>
          <w:tcPr>
            <w:tcW w:w="1086" w:type="dxa"/>
            <w:vAlign w:val="center"/>
          </w:tcPr>
          <w:p w14:paraId="0904847E">
            <w:pPr>
              <w:jc w:val="center"/>
              <w:rPr>
                <w:rFonts w:ascii="Times New Roman" w:hAnsi="Times New Roman" w:cs="Times New Roman"/>
              </w:rPr>
            </w:pPr>
            <w:r>
              <w:rPr>
                <w:rFonts w:ascii="Times New Roman" w:hAnsi="Times New Roman" w:cs="Times New Roman"/>
              </w:rPr>
              <w:t>1.4.1</w:t>
            </w:r>
          </w:p>
        </w:tc>
        <w:tc>
          <w:tcPr>
            <w:tcW w:w="1532" w:type="dxa"/>
            <w:vAlign w:val="center"/>
          </w:tcPr>
          <w:p w14:paraId="0D5B91A5">
            <w:pPr>
              <w:spacing w:line="360" w:lineRule="exact"/>
              <w:jc w:val="center"/>
              <w:rPr>
                <w:rFonts w:ascii="Times New Roman" w:hAnsi="Times New Roman" w:cs="Times New Roman"/>
              </w:rPr>
            </w:pPr>
            <w:r>
              <w:rPr>
                <w:rFonts w:ascii="Times New Roman" w:hAnsi="Times New Roman" w:cs="Times New Roman"/>
              </w:rPr>
              <w:t xml:space="preserve">投标人的资格要求 </w:t>
            </w:r>
          </w:p>
        </w:tc>
        <w:tc>
          <w:tcPr>
            <w:tcW w:w="7151" w:type="dxa"/>
            <w:gridSpan w:val="2"/>
            <w:vAlign w:val="center"/>
          </w:tcPr>
          <w:p w14:paraId="0CEF1F71">
            <w:pPr>
              <w:spacing w:line="340" w:lineRule="exact"/>
              <w:rPr>
                <w:rFonts w:ascii="Times New Roman" w:hAnsi="Times New Roman" w:cs="Times New Roman"/>
              </w:rPr>
            </w:pPr>
            <w:r>
              <w:rPr>
                <w:rFonts w:ascii="Times New Roman" w:hAnsi="Times New Roman" w:cs="Times New Roman"/>
              </w:rPr>
              <w:t>本项目投标人资格应满足以下要求，并提供可证明性材料：</w:t>
            </w:r>
          </w:p>
          <w:p w14:paraId="4C95E3E1">
            <w:pPr>
              <w:autoSpaceDE w:val="0"/>
              <w:autoSpaceDN w:val="0"/>
              <w:adjustRightInd w:val="0"/>
              <w:spacing w:line="440" w:lineRule="exact"/>
              <w:ind w:firstLine="480" w:firstLineChars="200"/>
              <w:rPr>
                <w:rFonts w:ascii="Times New Roman" w:hAnsi="Times New Roman" w:cs="Times New Roman"/>
              </w:rPr>
            </w:pPr>
            <w:r>
              <w:rPr>
                <w:rFonts w:hint="eastAsia" w:ascii="Times New Roman" w:hAnsi="Times New Roman" w:cs="Times New Roman"/>
              </w:rPr>
              <w:t>1、在中国境内注册具有独立法人资格的企业单位。</w:t>
            </w:r>
          </w:p>
          <w:p w14:paraId="2D540090">
            <w:pPr>
              <w:autoSpaceDE w:val="0"/>
              <w:autoSpaceDN w:val="0"/>
              <w:adjustRightInd w:val="0"/>
              <w:spacing w:line="440" w:lineRule="exact"/>
              <w:ind w:firstLine="480" w:firstLineChars="200"/>
              <w:rPr>
                <w:rFonts w:ascii="Times New Roman" w:hAnsi="Times New Roman" w:cs="Times New Roman"/>
              </w:rPr>
            </w:pPr>
            <w:r>
              <w:rPr>
                <w:rFonts w:hint="eastAsia" w:ascii="Times New Roman" w:hAnsi="Times New Roman" w:cs="Times New Roman"/>
              </w:rPr>
              <w:t>2、投标单位具备房建专业监理甲级及以上资质，并在技术力量、人员配备等方面具有相应的监理能力。本次</w:t>
            </w:r>
            <w:r>
              <w:rPr>
                <w:rFonts w:hint="eastAsia" w:ascii="Times New Roman" w:hAnsi="Times New Roman" w:cs="Times New Roman"/>
                <w:lang w:eastAsia="zh-CN"/>
              </w:rPr>
              <w:t>谈判</w:t>
            </w:r>
            <w:r>
              <w:rPr>
                <w:rFonts w:hint="eastAsia" w:ascii="Times New Roman" w:hAnsi="Times New Roman" w:cs="Times New Roman"/>
              </w:rPr>
              <w:t>不接受联合体投标。</w:t>
            </w:r>
          </w:p>
          <w:p w14:paraId="0AA65547">
            <w:pPr>
              <w:autoSpaceDE w:val="0"/>
              <w:autoSpaceDN w:val="0"/>
              <w:adjustRightInd w:val="0"/>
              <w:spacing w:line="440" w:lineRule="exact"/>
              <w:ind w:firstLine="480" w:firstLineChars="200"/>
              <w:rPr>
                <w:rFonts w:ascii="Times New Roman" w:hAnsi="Times New Roman" w:cs="Times New Roman"/>
              </w:rPr>
            </w:pPr>
            <w:r>
              <w:rPr>
                <w:rFonts w:hint="eastAsia" w:ascii="Times New Roman" w:hAnsi="Times New Roman" w:cs="Times New Roman"/>
              </w:rPr>
              <w:t>3、总监及主要人员：设置总监理工程师/专业监理工程师1名。总监理工程师应由具有建筑工程或相关项目监理工作经验的国家注册监理工程师担任，应附相关业绩和资格证明资料等。</w:t>
            </w:r>
          </w:p>
          <w:p w14:paraId="2A224AC7">
            <w:pPr>
              <w:autoSpaceDE w:val="0"/>
              <w:autoSpaceDN w:val="0"/>
              <w:adjustRightInd w:val="0"/>
              <w:spacing w:line="440" w:lineRule="exact"/>
              <w:ind w:firstLine="480" w:firstLineChars="200"/>
              <w:rPr>
                <w:rFonts w:ascii="Times New Roman" w:hAnsi="Times New Roman" w:cs="Times New Roman"/>
              </w:rPr>
            </w:pPr>
            <w:r>
              <w:rPr>
                <w:rFonts w:hint="eastAsia" w:ascii="Times New Roman" w:hAnsi="Times New Roman" w:cs="Times New Roman"/>
              </w:rPr>
              <w:t>4、具有良好的业绩，诚实守信，投标人未被列入失信被执行人名单。</w:t>
            </w:r>
          </w:p>
          <w:p w14:paraId="009B80CD">
            <w:pPr>
              <w:autoSpaceDE w:val="0"/>
              <w:autoSpaceDN w:val="0"/>
              <w:adjustRightInd w:val="0"/>
              <w:spacing w:line="440" w:lineRule="exact"/>
              <w:ind w:firstLine="480" w:firstLineChars="200"/>
              <w:rPr>
                <w:rFonts w:ascii="Times New Roman" w:hAnsi="Times New Roman" w:cs="Times New Roman"/>
              </w:rPr>
            </w:pPr>
            <w:r>
              <w:rPr>
                <w:rFonts w:hint="eastAsia" w:ascii="Times New Roman" w:hAnsi="Times New Roman" w:cs="Times New Roman"/>
              </w:rPr>
              <w:t>5、具有良好的企业信誉和健全的财务会计制度，并提供财务审计报告</w:t>
            </w:r>
            <w:r>
              <w:rPr>
                <w:rFonts w:hint="eastAsia" w:ascii="Times New Roman" w:hAnsi="Times New Roman" w:cs="Times New Roman"/>
                <w:lang w:val="en-US"/>
              </w:rPr>
              <w:t>或财务报表</w:t>
            </w:r>
            <w:r>
              <w:rPr>
                <w:rFonts w:hint="eastAsia" w:ascii="Times New Roman" w:hAnsi="Times New Roman" w:cs="Times New Roman"/>
              </w:rPr>
              <w:t>，可以通过扫描防伪二维码在注册会计师行业统一监管平台查询(http://acc.mof.gov.cn)）；</w:t>
            </w:r>
          </w:p>
          <w:p w14:paraId="68A8D70B">
            <w:pPr>
              <w:autoSpaceDE w:val="0"/>
              <w:autoSpaceDN w:val="0"/>
              <w:adjustRightInd w:val="0"/>
              <w:spacing w:line="440" w:lineRule="exact"/>
              <w:ind w:firstLine="480" w:firstLineChars="200"/>
              <w:rPr>
                <w:rFonts w:ascii="Times New Roman" w:hAnsi="Times New Roman" w:cs="Times New Roman"/>
              </w:rPr>
            </w:pPr>
            <w:r>
              <w:rPr>
                <w:rFonts w:hint="eastAsia" w:ascii="Times New Roman" w:hAnsi="Times New Roman" w:cs="Times New Roman"/>
              </w:rPr>
              <w:t>6、有依法缴纳税收和社会保障金的良好纪录。</w:t>
            </w:r>
          </w:p>
          <w:p w14:paraId="304E9F09">
            <w:pPr>
              <w:autoSpaceDE w:val="0"/>
              <w:autoSpaceDN w:val="0"/>
              <w:adjustRightInd w:val="0"/>
              <w:spacing w:line="440" w:lineRule="exact"/>
              <w:ind w:firstLine="480" w:firstLineChars="200"/>
              <w:rPr>
                <w:rFonts w:ascii="Times New Roman" w:hAnsi="Times New Roman" w:cs="Times New Roman"/>
              </w:rPr>
            </w:pPr>
            <w:r>
              <w:rPr>
                <w:rFonts w:hint="eastAsia" w:ascii="Times New Roman" w:hAnsi="Times New Roman" w:cs="Times New Roman"/>
              </w:rPr>
              <w:t>7、在本次谈判前三年（202</w:t>
            </w:r>
            <w:r>
              <w:rPr>
                <w:rFonts w:hint="eastAsia" w:ascii="Times New Roman" w:hAnsi="Times New Roman" w:cs="Times New Roman"/>
                <w:lang w:val="en-US"/>
              </w:rPr>
              <w:t>2</w:t>
            </w:r>
            <w:r>
              <w:rPr>
                <w:rFonts w:hint="eastAsia" w:ascii="Times New Roman" w:hAnsi="Times New Roman" w:cs="Times New Roman"/>
              </w:rPr>
              <w:t>、</w:t>
            </w:r>
            <w:r>
              <w:rPr>
                <w:rFonts w:hint="eastAsia" w:ascii="Times New Roman" w:hAnsi="Times New Roman" w:cs="Times New Roman"/>
                <w:lang w:val="en-US"/>
              </w:rPr>
              <w:t>2023、2024年</w:t>
            </w:r>
            <w:r>
              <w:rPr>
                <w:rFonts w:hint="eastAsia" w:ascii="Times New Roman" w:hAnsi="Times New Roman" w:cs="Times New Roman"/>
              </w:rPr>
              <w:t>）内，应无下列不良记录：被行业主管部门通报整改的单位、被责令停业的、被暂停或取消投标资格的、财产被接管或冻结的、在经营活动中有重大违法违规行为。</w:t>
            </w:r>
          </w:p>
          <w:p w14:paraId="5337D9A3">
            <w:pPr>
              <w:autoSpaceDE w:val="0"/>
              <w:autoSpaceDN w:val="0"/>
              <w:adjustRightInd w:val="0"/>
              <w:spacing w:line="440" w:lineRule="exact"/>
              <w:ind w:firstLine="480" w:firstLineChars="200"/>
              <w:rPr>
                <w:rFonts w:ascii="Times New Roman" w:hAnsi="Times New Roman" w:cs="Times New Roman"/>
              </w:rPr>
            </w:pPr>
            <w:r>
              <w:rPr>
                <w:rFonts w:hint="eastAsia" w:ascii="Times New Roman" w:hAnsi="Times New Roman" w:cs="Times New Roman"/>
              </w:rPr>
              <w:t>8、投标人须遵守中华人民共和国有关法律、法规，无重大违法违约行为。“通过“信用中国”网（www.creditchina.gov.cn）、中国政府</w:t>
            </w:r>
            <w:r>
              <w:rPr>
                <w:rFonts w:hint="eastAsia" w:ascii="Times New Roman" w:hAnsi="Times New Roman" w:cs="Times New Roman"/>
                <w:lang w:eastAsia="zh-CN"/>
              </w:rPr>
              <w:t>谈判</w:t>
            </w:r>
            <w:r>
              <w:rPr>
                <w:rFonts w:hint="eastAsia" w:ascii="Times New Roman" w:hAnsi="Times New Roman" w:cs="Times New Roman"/>
              </w:rPr>
              <w:t>网（www.ccgp.gov.cn）查询，未被列入失信被执行人、重大税收违法案件当事人、政府</w:t>
            </w:r>
            <w:r>
              <w:rPr>
                <w:rFonts w:hint="eastAsia" w:ascii="Times New Roman" w:hAnsi="Times New Roman" w:cs="Times New Roman"/>
                <w:lang w:eastAsia="zh-CN"/>
              </w:rPr>
              <w:t>谈判</w:t>
            </w:r>
            <w:r>
              <w:rPr>
                <w:rFonts w:hint="eastAsia" w:ascii="Times New Roman" w:hAnsi="Times New Roman" w:cs="Times New Roman"/>
              </w:rPr>
              <w:t>严重违法失信行为记录名单”，提供查询截屏。</w:t>
            </w:r>
          </w:p>
        </w:tc>
      </w:tr>
      <w:tr w14:paraId="6C240C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086" w:type="dxa"/>
            <w:vAlign w:val="center"/>
          </w:tcPr>
          <w:p w14:paraId="77D64667">
            <w:pPr>
              <w:spacing w:line="240" w:lineRule="atLeast"/>
              <w:jc w:val="center"/>
              <w:rPr>
                <w:rFonts w:ascii="Times New Roman" w:hAnsi="Times New Roman" w:cs="Times New Roman"/>
              </w:rPr>
            </w:pPr>
            <w:r>
              <w:rPr>
                <w:rFonts w:ascii="Times New Roman" w:hAnsi="Times New Roman" w:cs="Times New Roman"/>
              </w:rPr>
              <w:t>1.4.2</w:t>
            </w:r>
          </w:p>
        </w:tc>
        <w:tc>
          <w:tcPr>
            <w:tcW w:w="1532" w:type="dxa"/>
            <w:vAlign w:val="center"/>
          </w:tcPr>
          <w:p w14:paraId="7257DD18">
            <w:pPr>
              <w:spacing w:line="240" w:lineRule="atLeast"/>
              <w:jc w:val="center"/>
              <w:rPr>
                <w:rFonts w:ascii="Times New Roman" w:hAnsi="Times New Roman" w:cs="Times New Roman"/>
              </w:rPr>
            </w:pPr>
            <w:r>
              <w:rPr>
                <w:rFonts w:ascii="Times New Roman" w:hAnsi="Times New Roman" w:cs="Times New Roman"/>
              </w:rPr>
              <w:t>是否接受联合体</w:t>
            </w:r>
          </w:p>
        </w:tc>
        <w:tc>
          <w:tcPr>
            <w:tcW w:w="7151" w:type="dxa"/>
            <w:gridSpan w:val="2"/>
            <w:vAlign w:val="center"/>
          </w:tcPr>
          <w:p w14:paraId="2FC9CF57">
            <w:pPr>
              <w:spacing w:line="340" w:lineRule="exact"/>
              <w:rPr>
                <w:rFonts w:ascii="Times New Roman" w:hAnsi="Times New Roman" w:cs="Times New Roman"/>
              </w:rPr>
            </w:pPr>
            <w:r>
              <w:rPr>
                <w:rFonts w:ascii="Times New Roman" w:hAnsi="Times New Roman" w:cs="Times New Roman"/>
              </w:rPr>
              <w:t>不接受</w:t>
            </w:r>
          </w:p>
        </w:tc>
      </w:tr>
      <w:tr w14:paraId="17B046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086" w:type="dxa"/>
            <w:vAlign w:val="center"/>
          </w:tcPr>
          <w:p w14:paraId="3E027628">
            <w:pPr>
              <w:spacing w:line="240" w:lineRule="atLeast"/>
              <w:jc w:val="center"/>
              <w:rPr>
                <w:rFonts w:ascii="Times New Roman" w:hAnsi="Times New Roman" w:cs="Times New Roman"/>
              </w:rPr>
            </w:pPr>
            <w:r>
              <w:rPr>
                <w:rFonts w:ascii="Times New Roman" w:hAnsi="Times New Roman" w:cs="Times New Roman"/>
              </w:rPr>
              <w:t>1.9</w:t>
            </w:r>
          </w:p>
        </w:tc>
        <w:tc>
          <w:tcPr>
            <w:tcW w:w="1532" w:type="dxa"/>
            <w:vAlign w:val="center"/>
          </w:tcPr>
          <w:p w14:paraId="7F7BBCF6">
            <w:pPr>
              <w:spacing w:line="240" w:lineRule="atLeast"/>
              <w:jc w:val="center"/>
              <w:rPr>
                <w:rFonts w:ascii="Times New Roman" w:hAnsi="Times New Roman" w:cs="Times New Roman"/>
              </w:rPr>
            </w:pPr>
            <w:r>
              <w:rPr>
                <w:rFonts w:ascii="Times New Roman" w:hAnsi="Times New Roman" w:cs="Times New Roman"/>
              </w:rPr>
              <w:t>是否组织现场踏勘</w:t>
            </w:r>
          </w:p>
        </w:tc>
        <w:tc>
          <w:tcPr>
            <w:tcW w:w="7151" w:type="dxa"/>
            <w:gridSpan w:val="2"/>
            <w:vAlign w:val="center"/>
          </w:tcPr>
          <w:p w14:paraId="490D20CD">
            <w:pPr>
              <w:spacing w:line="340" w:lineRule="exact"/>
              <w:rPr>
                <w:rFonts w:ascii="Times New Roman" w:hAnsi="Times New Roman" w:cs="Times New Roman"/>
              </w:rPr>
            </w:pPr>
            <w:r>
              <w:rPr>
                <w:rFonts w:ascii="Times New Roman" w:hAnsi="Times New Roman" w:cs="Times New Roman"/>
              </w:rPr>
              <w:t>不统一组织现场踏勘</w:t>
            </w:r>
          </w:p>
        </w:tc>
      </w:tr>
      <w:tr w14:paraId="72D3C3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086" w:type="dxa"/>
            <w:vAlign w:val="center"/>
          </w:tcPr>
          <w:p w14:paraId="60A0550A">
            <w:pPr>
              <w:spacing w:line="240" w:lineRule="atLeast"/>
              <w:jc w:val="center"/>
              <w:rPr>
                <w:rFonts w:ascii="Times New Roman" w:hAnsi="Times New Roman" w:cs="Times New Roman"/>
              </w:rPr>
            </w:pPr>
            <w:r>
              <w:rPr>
                <w:rFonts w:ascii="Times New Roman" w:hAnsi="Times New Roman" w:cs="Times New Roman"/>
              </w:rPr>
              <w:t>1.10</w:t>
            </w:r>
          </w:p>
        </w:tc>
        <w:tc>
          <w:tcPr>
            <w:tcW w:w="1532" w:type="dxa"/>
            <w:vAlign w:val="center"/>
          </w:tcPr>
          <w:p w14:paraId="01EB4783">
            <w:pPr>
              <w:spacing w:line="240" w:lineRule="atLeast"/>
              <w:jc w:val="center"/>
              <w:rPr>
                <w:rFonts w:ascii="Times New Roman" w:hAnsi="Times New Roman" w:cs="Times New Roman"/>
              </w:rPr>
            </w:pPr>
            <w:r>
              <w:rPr>
                <w:rFonts w:ascii="Times New Roman" w:hAnsi="Times New Roman" w:cs="Times New Roman"/>
              </w:rPr>
              <w:t>谈判预备会</w:t>
            </w:r>
          </w:p>
        </w:tc>
        <w:tc>
          <w:tcPr>
            <w:tcW w:w="7151" w:type="dxa"/>
            <w:gridSpan w:val="2"/>
            <w:vAlign w:val="center"/>
          </w:tcPr>
          <w:p w14:paraId="3A232F20">
            <w:pPr>
              <w:spacing w:line="340" w:lineRule="exact"/>
              <w:rPr>
                <w:rFonts w:ascii="Times New Roman" w:hAnsi="Times New Roman" w:cs="Times New Roman"/>
              </w:rPr>
            </w:pPr>
            <w:r>
              <w:rPr>
                <w:rFonts w:ascii="Times New Roman" w:hAnsi="Times New Roman" w:cs="Times New Roman"/>
              </w:rPr>
              <w:t>不召开</w:t>
            </w:r>
          </w:p>
        </w:tc>
      </w:tr>
      <w:tr w14:paraId="531041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5" w:hRule="atLeast"/>
          <w:jc w:val="center"/>
        </w:trPr>
        <w:tc>
          <w:tcPr>
            <w:tcW w:w="1086" w:type="dxa"/>
            <w:vAlign w:val="center"/>
          </w:tcPr>
          <w:p w14:paraId="410D823F">
            <w:pPr>
              <w:jc w:val="center"/>
              <w:rPr>
                <w:rFonts w:ascii="Times New Roman" w:hAnsi="Times New Roman" w:cs="Times New Roman"/>
              </w:rPr>
            </w:pPr>
            <w:r>
              <w:rPr>
                <w:rFonts w:ascii="Times New Roman" w:hAnsi="Times New Roman" w:cs="Times New Roman"/>
              </w:rPr>
              <w:t>2.1.1</w:t>
            </w:r>
          </w:p>
        </w:tc>
        <w:tc>
          <w:tcPr>
            <w:tcW w:w="1532" w:type="dxa"/>
            <w:vAlign w:val="center"/>
          </w:tcPr>
          <w:p w14:paraId="3E4A950F">
            <w:pPr>
              <w:spacing w:line="360" w:lineRule="exact"/>
              <w:jc w:val="center"/>
              <w:rPr>
                <w:rFonts w:ascii="Times New Roman" w:hAnsi="Times New Roman" w:cs="Times New Roman"/>
              </w:rPr>
            </w:pPr>
            <w:r>
              <w:rPr>
                <w:rFonts w:ascii="Times New Roman" w:hAnsi="Times New Roman" w:cs="Times New Roman"/>
              </w:rPr>
              <w:t>构成谈判文件的其他材料</w:t>
            </w:r>
          </w:p>
        </w:tc>
        <w:tc>
          <w:tcPr>
            <w:tcW w:w="7151" w:type="dxa"/>
            <w:gridSpan w:val="2"/>
            <w:vAlign w:val="center"/>
          </w:tcPr>
          <w:p w14:paraId="4E45490C">
            <w:pPr>
              <w:spacing w:line="340" w:lineRule="exact"/>
              <w:rPr>
                <w:rFonts w:ascii="Times New Roman" w:hAnsi="Times New Roman" w:cs="Times New Roman"/>
              </w:rPr>
            </w:pPr>
            <w:r>
              <w:rPr>
                <w:rFonts w:ascii="Times New Roman" w:hAnsi="Times New Roman" w:cs="Times New Roman"/>
              </w:rPr>
              <w:t>谈判文件澄清、答疑、补充文件等</w:t>
            </w:r>
          </w:p>
        </w:tc>
      </w:tr>
      <w:tr w14:paraId="493EC0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30" w:hRule="atLeast"/>
          <w:jc w:val="center"/>
        </w:trPr>
        <w:tc>
          <w:tcPr>
            <w:tcW w:w="1086" w:type="dxa"/>
            <w:vAlign w:val="center"/>
          </w:tcPr>
          <w:p w14:paraId="319D6F70">
            <w:pPr>
              <w:jc w:val="center"/>
              <w:rPr>
                <w:rFonts w:ascii="Times New Roman" w:hAnsi="Times New Roman" w:cs="Times New Roman"/>
              </w:rPr>
            </w:pPr>
            <w:r>
              <w:rPr>
                <w:rFonts w:ascii="Times New Roman" w:hAnsi="Times New Roman" w:cs="Times New Roman"/>
              </w:rPr>
              <w:t>2.1.3</w:t>
            </w:r>
          </w:p>
        </w:tc>
        <w:tc>
          <w:tcPr>
            <w:tcW w:w="1532" w:type="dxa"/>
            <w:vAlign w:val="center"/>
          </w:tcPr>
          <w:p w14:paraId="7FC8E6FD">
            <w:pPr>
              <w:spacing w:line="360" w:lineRule="exact"/>
              <w:jc w:val="center"/>
              <w:rPr>
                <w:rFonts w:ascii="Times New Roman" w:hAnsi="Times New Roman" w:cs="Times New Roman"/>
              </w:rPr>
            </w:pPr>
            <w:r>
              <w:rPr>
                <w:rFonts w:ascii="Times New Roman" w:hAnsi="Times New Roman" w:cs="Times New Roman"/>
              </w:rPr>
              <w:t>谈判文件的发布</w:t>
            </w:r>
          </w:p>
        </w:tc>
        <w:tc>
          <w:tcPr>
            <w:tcW w:w="7151" w:type="dxa"/>
            <w:gridSpan w:val="2"/>
            <w:vAlign w:val="center"/>
          </w:tcPr>
          <w:p w14:paraId="595266CE">
            <w:pPr>
              <w:spacing w:line="340" w:lineRule="exact"/>
              <w:rPr>
                <w:rFonts w:ascii="Times New Roman" w:hAnsi="Times New Roman" w:cs="Times New Roman"/>
              </w:rPr>
            </w:pPr>
            <w:r>
              <w:rPr>
                <w:rFonts w:ascii="Times New Roman" w:hAnsi="Times New Roman" w:cs="Times New Roman"/>
              </w:rPr>
              <w:t>本谈判文件在济钢集团有限公司阳光购销平台（网址：</w:t>
            </w:r>
            <w:r>
              <w:rPr>
                <w:rFonts w:ascii="Times New Roman" w:hAnsi="Times New Roman" w:cs="Times New Roman"/>
              </w:rPr>
              <w:fldChar w:fldCharType="begin"/>
            </w:r>
            <w:r>
              <w:rPr>
                <w:rFonts w:ascii="Times New Roman" w:hAnsi="Times New Roman" w:cs="Times New Roman"/>
              </w:rPr>
              <w:instrText xml:space="preserve"> HYPERLINK "http://bidding.jigang.com.cn" </w:instrText>
            </w:r>
            <w:r>
              <w:rPr>
                <w:rFonts w:ascii="Times New Roman" w:hAnsi="Times New Roman" w:cs="Times New Roman"/>
              </w:rPr>
              <w:fldChar w:fldCharType="separate"/>
            </w:r>
            <w:r>
              <w:rPr>
                <w:rFonts w:ascii="Times New Roman" w:hAnsi="Times New Roman" w:cs="Times New Roman"/>
              </w:rPr>
              <w:t>http://bidding.jigang.com.cn</w:t>
            </w:r>
            <w:r>
              <w:rPr>
                <w:rFonts w:ascii="Times New Roman" w:hAnsi="Times New Roman" w:cs="Times New Roman"/>
              </w:rPr>
              <w:fldChar w:fldCharType="end"/>
            </w:r>
            <w:r>
              <w:rPr>
                <w:rFonts w:ascii="Times New Roman" w:hAnsi="Times New Roman" w:cs="Times New Roman"/>
              </w:rPr>
              <w:t>/）上发布。除上述媒介以外的媒介转载或发布与本次谈判相关信息的，</w:t>
            </w:r>
            <w:r>
              <w:rPr>
                <w:rFonts w:hint="eastAsia" w:ascii="Times New Roman" w:hAnsi="Times New Roman" w:cs="Times New Roman"/>
                <w:lang w:eastAsia="zh-CN"/>
              </w:rPr>
              <w:t>谈判</w:t>
            </w:r>
            <w:r>
              <w:rPr>
                <w:rFonts w:ascii="Times New Roman" w:hAnsi="Times New Roman" w:cs="Times New Roman"/>
              </w:rPr>
              <w:t>人不承担任何责任并保留追究相关方责任的权利。</w:t>
            </w:r>
          </w:p>
        </w:tc>
      </w:tr>
      <w:tr w14:paraId="4B5A14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086" w:type="dxa"/>
            <w:vAlign w:val="center"/>
          </w:tcPr>
          <w:p w14:paraId="075BB7E7">
            <w:pPr>
              <w:jc w:val="center"/>
              <w:rPr>
                <w:rFonts w:ascii="Times New Roman" w:hAnsi="Times New Roman" w:cs="Times New Roman"/>
              </w:rPr>
            </w:pPr>
            <w:r>
              <w:rPr>
                <w:rFonts w:ascii="Times New Roman" w:hAnsi="Times New Roman" w:cs="Times New Roman"/>
              </w:rPr>
              <w:t>2.2.2</w:t>
            </w:r>
          </w:p>
        </w:tc>
        <w:tc>
          <w:tcPr>
            <w:tcW w:w="1532" w:type="dxa"/>
            <w:vAlign w:val="center"/>
          </w:tcPr>
          <w:p w14:paraId="64AADD53">
            <w:pPr>
              <w:spacing w:line="442" w:lineRule="exact"/>
              <w:jc w:val="center"/>
              <w:rPr>
                <w:rFonts w:ascii="Times New Roman" w:hAnsi="Times New Roman" w:cs="Times New Roman"/>
              </w:rPr>
            </w:pPr>
            <w:r>
              <w:rPr>
                <w:rFonts w:ascii="Times New Roman" w:hAnsi="Times New Roman" w:cs="Times New Roman"/>
              </w:rPr>
              <w:t>谈判文件的澄清</w:t>
            </w:r>
          </w:p>
        </w:tc>
        <w:tc>
          <w:tcPr>
            <w:tcW w:w="7151" w:type="dxa"/>
            <w:gridSpan w:val="2"/>
            <w:tcBorders>
              <w:bottom w:val="single" w:color="auto" w:sz="4" w:space="0"/>
            </w:tcBorders>
            <w:vAlign w:val="center"/>
          </w:tcPr>
          <w:p w14:paraId="09F9B324">
            <w:pPr>
              <w:spacing w:line="398" w:lineRule="exact"/>
              <w:rPr>
                <w:rFonts w:ascii="Times New Roman" w:hAnsi="Times New Roman" w:cs="Times New Roman"/>
              </w:rPr>
            </w:pPr>
            <w:r>
              <w:rPr>
                <w:rFonts w:ascii="Times New Roman" w:hAnsi="Times New Roman" w:cs="Times New Roman"/>
              </w:rPr>
              <w:t>谈判文件澄清的截止时间</w:t>
            </w:r>
            <w:r>
              <w:rPr>
                <w:rFonts w:ascii="Times New Roman" w:hAnsi="Times New Roman" w:cs="Times New Roman"/>
                <w:highlight w:val="none"/>
              </w:rPr>
              <w:t>为</w:t>
            </w:r>
            <w:r>
              <w:rPr>
                <w:rFonts w:ascii="Times New Roman" w:hAnsi="Times New Roman" w:cs="Times New Roman"/>
                <w:color w:val="auto"/>
                <w:highlight w:val="none"/>
              </w:rPr>
              <w:t>202</w:t>
            </w:r>
            <w:r>
              <w:rPr>
                <w:rFonts w:hint="eastAsia" w:ascii="Times New Roman" w:hAnsi="Times New Roman" w:cs="Times New Roman"/>
                <w:color w:val="auto"/>
                <w:highlight w:val="none"/>
                <w:lang w:val="en-US"/>
              </w:rPr>
              <w:t>6</w:t>
            </w:r>
            <w:r>
              <w:rPr>
                <w:rFonts w:ascii="Times New Roman" w:hAnsi="Times New Roman" w:cs="Times New Roman"/>
                <w:color w:val="auto"/>
                <w:highlight w:val="none"/>
              </w:rPr>
              <w:t>年</w:t>
            </w:r>
            <w:r>
              <w:rPr>
                <w:rFonts w:hint="eastAsia" w:ascii="Times New Roman" w:hAnsi="Times New Roman" w:cs="Times New Roman"/>
                <w:color w:val="auto"/>
                <w:highlight w:val="none"/>
                <w:lang w:val="en-US"/>
              </w:rPr>
              <w:t xml:space="preserve"> </w:t>
            </w:r>
            <w:r>
              <w:rPr>
                <w:rFonts w:hint="eastAsia" w:ascii="Times New Roman" w:hAnsi="Times New Roman" w:cs="Times New Roman"/>
                <w:color w:val="auto"/>
                <w:highlight w:val="none"/>
                <w:lang w:val="en-US" w:eastAsia="zh-CN"/>
              </w:rPr>
              <w:t>1</w:t>
            </w:r>
            <w:r>
              <w:rPr>
                <w:rFonts w:ascii="Times New Roman" w:hAnsi="Times New Roman" w:cs="Times New Roman"/>
                <w:color w:val="auto"/>
                <w:highlight w:val="none"/>
              </w:rPr>
              <w:t>月</w:t>
            </w:r>
            <w:r>
              <w:rPr>
                <w:rFonts w:hint="eastAsia" w:ascii="Times New Roman" w:hAnsi="Times New Roman" w:cs="Times New Roman"/>
                <w:color w:val="auto"/>
                <w:highlight w:val="none"/>
                <w:lang w:val="en-US" w:eastAsia="zh-CN"/>
              </w:rPr>
              <w:t>16</w:t>
            </w:r>
            <w:r>
              <w:rPr>
                <w:rFonts w:ascii="Times New Roman" w:hAnsi="Times New Roman" w:cs="Times New Roman"/>
                <w:color w:val="auto"/>
                <w:highlight w:val="none"/>
              </w:rPr>
              <w:t>日</w:t>
            </w:r>
            <w:r>
              <w:rPr>
                <w:rFonts w:ascii="Times New Roman" w:hAnsi="Times New Roman" w:cs="Times New Roman"/>
                <w:highlight w:val="none"/>
              </w:rPr>
              <w:t>，</w:t>
            </w:r>
            <w:r>
              <w:rPr>
                <w:rFonts w:ascii="Times New Roman" w:hAnsi="Times New Roman" w:cs="Times New Roman"/>
              </w:rPr>
              <w:t>澄清文件在济钢集团有限公司阳光购销平台（网址：</w:t>
            </w:r>
            <w:r>
              <w:rPr>
                <w:rFonts w:ascii="Times New Roman" w:hAnsi="Times New Roman" w:cs="Times New Roman"/>
              </w:rPr>
              <w:fldChar w:fldCharType="begin"/>
            </w:r>
            <w:r>
              <w:rPr>
                <w:rFonts w:ascii="Times New Roman" w:hAnsi="Times New Roman" w:cs="Times New Roman"/>
              </w:rPr>
              <w:instrText xml:space="preserve"> HYPERLINK "http://bidding.jigang.com.cn" </w:instrText>
            </w:r>
            <w:r>
              <w:rPr>
                <w:rFonts w:ascii="Times New Roman" w:hAnsi="Times New Roman" w:cs="Times New Roman"/>
              </w:rPr>
              <w:fldChar w:fldCharType="separate"/>
            </w:r>
            <w:r>
              <w:rPr>
                <w:rFonts w:ascii="Times New Roman" w:hAnsi="Times New Roman" w:cs="Times New Roman"/>
              </w:rPr>
              <w:t>http://bidding.jigang.com.cn</w:t>
            </w:r>
            <w:r>
              <w:rPr>
                <w:rFonts w:ascii="Times New Roman" w:hAnsi="Times New Roman" w:cs="Times New Roman"/>
              </w:rPr>
              <w:fldChar w:fldCharType="end"/>
            </w:r>
            <w:r>
              <w:rPr>
                <w:rFonts w:ascii="Times New Roman" w:hAnsi="Times New Roman" w:cs="Times New Roman"/>
              </w:rPr>
              <w:t>/） 上发布，并以书面形式通知所有谈判文件收受人。</w:t>
            </w:r>
          </w:p>
        </w:tc>
      </w:tr>
      <w:tr w14:paraId="1B5DB1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086" w:type="dxa"/>
            <w:vAlign w:val="center"/>
          </w:tcPr>
          <w:p w14:paraId="59CFEF66">
            <w:pPr>
              <w:jc w:val="center"/>
              <w:rPr>
                <w:rFonts w:ascii="Times New Roman" w:hAnsi="Times New Roman" w:cs="Times New Roman"/>
              </w:rPr>
            </w:pPr>
            <w:r>
              <w:rPr>
                <w:rFonts w:ascii="Times New Roman" w:hAnsi="Times New Roman" w:cs="Times New Roman"/>
              </w:rPr>
              <w:t>2.3</w:t>
            </w:r>
          </w:p>
        </w:tc>
        <w:tc>
          <w:tcPr>
            <w:tcW w:w="1532" w:type="dxa"/>
            <w:vAlign w:val="center"/>
          </w:tcPr>
          <w:p w14:paraId="191FF18D">
            <w:pPr>
              <w:spacing w:line="360" w:lineRule="exact"/>
              <w:jc w:val="center"/>
              <w:rPr>
                <w:rFonts w:ascii="Times New Roman" w:hAnsi="Times New Roman" w:cs="Times New Roman"/>
              </w:rPr>
            </w:pPr>
            <w:r>
              <w:rPr>
                <w:rFonts w:ascii="Times New Roman" w:hAnsi="Times New Roman" w:cs="Times New Roman"/>
              </w:rPr>
              <w:t>谈判文件的修改</w:t>
            </w:r>
          </w:p>
        </w:tc>
        <w:tc>
          <w:tcPr>
            <w:tcW w:w="7151" w:type="dxa"/>
            <w:gridSpan w:val="2"/>
            <w:tcBorders>
              <w:bottom w:val="single" w:color="auto" w:sz="4" w:space="0"/>
            </w:tcBorders>
            <w:vAlign w:val="center"/>
          </w:tcPr>
          <w:p w14:paraId="79826B5C">
            <w:pPr>
              <w:spacing w:line="398" w:lineRule="exact"/>
              <w:rPr>
                <w:rFonts w:ascii="Times New Roman" w:hAnsi="Times New Roman" w:cs="Times New Roman"/>
              </w:rPr>
            </w:pPr>
            <w:r>
              <w:rPr>
                <w:rFonts w:ascii="Times New Roman" w:hAnsi="Times New Roman" w:cs="Times New Roman"/>
              </w:rPr>
              <w:t>谈判文件修改的截止时间</w:t>
            </w:r>
            <w:r>
              <w:rPr>
                <w:rFonts w:ascii="Times New Roman" w:hAnsi="Times New Roman" w:cs="Times New Roman"/>
                <w:highlight w:val="none"/>
              </w:rPr>
              <w:t>为</w:t>
            </w:r>
            <w:r>
              <w:rPr>
                <w:rFonts w:ascii="Times New Roman" w:hAnsi="Times New Roman" w:cs="Times New Roman"/>
                <w:color w:val="auto"/>
                <w:highlight w:val="none"/>
              </w:rPr>
              <w:t>202</w:t>
            </w:r>
            <w:r>
              <w:rPr>
                <w:rFonts w:hint="eastAsia" w:ascii="Times New Roman" w:hAnsi="Times New Roman" w:cs="Times New Roman"/>
                <w:color w:val="auto"/>
                <w:highlight w:val="none"/>
                <w:lang w:val="en-US"/>
              </w:rPr>
              <w:t>6</w:t>
            </w:r>
            <w:r>
              <w:rPr>
                <w:rFonts w:ascii="Times New Roman" w:hAnsi="Times New Roman" w:cs="Times New Roman"/>
                <w:color w:val="auto"/>
                <w:highlight w:val="none"/>
              </w:rPr>
              <w:t>年</w:t>
            </w:r>
            <w:r>
              <w:rPr>
                <w:rFonts w:hint="eastAsia" w:ascii="Times New Roman" w:hAnsi="Times New Roman" w:cs="Times New Roman"/>
                <w:color w:val="auto"/>
                <w:highlight w:val="none"/>
                <w:lang w:val="en-US" w:eastAsia="zh-CN"/>
              </w:rPr>
              <w:t>1</w:t>
            </w:r>
            <w:r>
              <w:rPr>
                <w:rFonts w:ascii="Times New Roman" w:hAnsi="Times New Roman" w:cs="Times New Roman"/>
                <w:color w:val="auto"/>
                <w:highlight w:val="none"/>
              </w:rPr>
              <w:t>月</w:t>
            </w:r>
            <w:r>
              <w:rPr>
                <w:rFonts w:hint="eastAsia" w:ascii="Times New Roman" w:hAnsi="Times New Roman" w:cs="Times New Roman"/>
                <w:color w:val="auto"/>
                <w:highlight w:val="none"/>
                <w:lang w:val="en-US" w:eastAsia="zh-CN"/>
              </w:rPr>
              <w:t>16</w:t>
            </w:r>
            <w:r>
              <w:rPr>
                <w:rFonts w:ascii="Times New Roman" w:hAnsi="Times New Roman" w:cs="Times New Roman"/>
                <w:color w:val="auto"/>
                <w:highlight w:val="none"/>
              </w:rPr>
              <w:t>日</w:t>
            </w:r>
            <w:r>
              <w:rPr>
                <w:rFonts w:ascii="Times New Roman" w:hAnsi="Times New Roman" w:cs="Times New Roman"/>
                <w:highlight w:val="none"/>
              </w:rPr>
              <w:t>，</w:t>
            </w:r>
            <w:r>
              <w:rPr>
                <w:rFonts w:ascii="Times New Roman" w:hAnsi="Times New Roman" w:cs="Times New Roman"/>
              </w:rPr>
              <w:t>修改文件在济钢集团有限公司阳光购销平台（网址：</w:t>
            </w:r>
            <w:r>
              <w:rPr>
                <w:rFonts w:ascii="Times New Roman" w:hAnsi="Times New Roman" w:cs="Times New Roman"/>
              </w:rPr>
              <w:fldChar w:fldCharType="begin"/>
            </w:r>
            <w:r>
              <w:rPr>
                <w:rFonts w:ascii="Times New Roman" w:hAnsi="Times New Roman" w:cs="Times New Roman"/>
              </w:rPr>
              <w:instrText xml:space="preserve"> HYPERLINK "http://bidding.jigang.com.cn" </w:instrText>
            </w:r>
            <w:r>
              <w:rPr>
                <w:rFonts w:ascii="Times New Roman" w:hAnsi="Times New Roman" w:cs="Times New Roman"/>
              </w:rPr>
              <w:fldChar w:fldCharType="separate"/>
            </w:r>
            <w:r>
              <w:rPr>
                <w:rFonts w:ascii="Times New Roman" w:hAnsi="Times New Roman" w:cs="Times New Roman"/>
              </w:rPr>
              <w:t>http://bidding.jigang.com.cn</w:t>
            </w:r>
            <w:r>
              <w:rPr>
                <w:rFonts w:ascii="Times New Roman" w:hAnsi="Times New Roman" w:cs="Times New Roman"/>
              </w:rPr>
              <w:fldChar w:fldCharType="end"/>
            </w:r>
            <w:r>
              <w:rPr>
                <w:rFonts w:ascii="Times New Roman" w:hAnsi="Times New Roman" w:cs="Times New Roman"/>
              </w:rPr>
              <w:t>/） 上发布，并以书面形式通知所有谈判文件收受人。</w:t>
            </w:r>
          </w:p>
        </w:tc>
      </w:tr>
      <w:tr w14:paraId="7453A2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086" w:type="dxa"/>
            <w:vAlign w:val="center"/>
          </w:tcPr>
          <w:p w14:paraId="745CC562">
            <w:pPr>
              <w:jc w:val="center"/>
              <w:rPr>
                <w:rFonts w:ascii="Times New Roman" w:hAnsi="Times New Roman" w:cs="Times New Roman"/>
              </w:rPr>
            </w:pPr>
            <w:r>
              <w:rPr>
                <w:rFonts w:ascii="Times New Roman" w:hAnsi="Times New Roman" w:cs="Times New Roman"/>
              </w:rPr>
              <w:t>3.1.1</w:t>
            </w:r>
          </w:p>
        </w:tc>
        <w:tc>
          <w:tcPr>
            <w:tcW w:w="1532" w:type="dxa"/>
            <w:vAlign w:val="center"/>
          </w:tcPr>
          <w:p w14:paraId="260D4620">
            <w:pPr>
              <w:spacing w:line="360" w:lineRule="exact"/>
              <w:jc w:val="center"/>
              <w:rPr>
                <w:rFonts w:ascii="Times New Roman" w:hAnsi="Times New Roman" w:cs="Times New Roman"/>
              </w:rPr>
            </w:pPr>
            <w:r>
              <w:rPr>
                <w:rFonts w:ascii="Times New Roman" w:hAnsi="Times New Roman" w:cs="Times New Roman"/>
              </w:rPr>
              <w:t>投标文件内容</w:t>
            </w:r>
          </w:p>
        </w:tc>
        <w:tc>
          <w:tcPr>
            <w:tcW w:w="7151" w:type="dxa"/>
            <w:gridSpan w:val="2"/>
            <w:tcBorders>
              <w:bottom w:val="single" w:color="auto" w:sz="4" w:space="0"/>
            </w:tcBorders>
            <w:vAlign w:val="center"/>
          </w:tcPr>
          <w:p w14:paraId="66480779">
            <w:pPr>
              <w:spacing w:line="340" w:lineRule="exact"/>
              <w:rPr>
                <w:rFonts w:ascii="Times New Roman" w:hAnsi="Times New Roman" w:cs="Times New Roman"/>
              </w:rPr>
            </w:pPr>
            <w:r>
              <w:rPr>
                <w:rFonts w:ascii="Times New Roman" w:hAnsi="Times New Roman" w:cs="Times New Roman"/>
              </w:rPr>
              <w:t>谈判文件商务、技术部分内容</w:t>
            </w:r>
          </w:p>
        </w:tc>
      </w:tr>
      <w:tr w14:paraId="633042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086" w:type="dxa"/>
            <w:shd w:val="clear" w:color="auto" w:fill="auto"/>
            <w:vAlign w:val="center"/>
          </w:tcPr>
          <w:p w14:paraId="479181CD">
            <w:pPr>
              <w:jc w:val="center"/>
              <w:rPr>
                <w:rFonts w:ascii="Times New Roman" w:hAnsi="Times New Roman" w:cs="Times New Roman"/>
              </w:rPr>
            </w:pPr>
            <w:r>
              <w:rPr>
                <w:rFonts w:ascii="Times New Roman" w:hAnsi="Times New Roman" w:cs="Times New Roman"/>
              </w:rPr>
              <w:t>3.2.1</w:t>
            </w:r>
          </w:p>
        </w:tc>
        <w:tc>
          <w:tcPr>
            <w:tcW w:w="1532" w:type="dxa"/>
            <w:shd w:val="clear" w:color="auto" w:fill="auto"/>
            <w:vAlign w:val="center"/>
          </w:tcPr>
          <w:p w14:paraId="342D748F">
            <w:pPr>
              <w:spacing w:line="360" w:lineRule="exact"/>
              <w:jc w:val="center"/>
              <w:rPr>
                <w:rFonts w:ascii="Times New Roman" w:hAnsi="Times New Roman" w:cs="Times New Roman"/>
              </w:rPr>
            </w:pPr>
            <w:r>
              <w:rPr>
                <w:rFonts w:ascii="Times New Roman" w:hAnsi="Times New Roman" w:cs="Times New Roman"/>
              </w:rPr>
              <w:t>投标报价</w:t>
            </w:r>
          </w:p>
        </w:tc>
        <w:tc>
          <w:tcPr>
            <w:tcW w:w="7151" w:type="dxa"/>
            <w:gridSpan w:val="2"/>
            <w:shd w:val="clear" w:color="auto" w:fill="FFFFFF"/>
            <w:vAlign w:val="center"/>
          </w:tcPr>
          <w:p w14:paraId="4EDD58AE">
            <w:pPr>
              <w:spacing w:line="340" w:lineRule="exact"/>
              <w:rPr>
                <w:rFonts w:ascii="Times New Roman" w:hAnsi="Times New Roman" w:cs="Times New Roman"/>
              </w:rPr>
            </w:pPr>
            <w:r>
              <w:rPr>
                <w:rFonts w:ascii="Times New Roman" w:hAnsi="Times New Roman" w:cs="Times New Roman"/>
              </w:rPr>
              <w:t>1.报价方式：</w:t>
            </w:r>
            <w:r>
              <w:rPr>
                <w:rFonts w:ascii="Times New Roman" w:hAnsi="Times New Roman" w:cs="Times New Roman"/>
                <w:color w:val="auto"/>
                <w:highlight w:val="none"/>
              </w:rPr>
              <w:t>投标总价包干</w:t>
            </w:r>
            <w:r>
              <w:rPr>
                <w:rFonts w:hint="eastAsia" w:ascii="Times New Roman" w:hAnsi="Times New Roman" w:cs="Times New Roman"/>
                <w:color w:val="auto"/>
                <w:highlight w:val="none"/>
              </w:rPr>
              <w:t>。</w:t>
            </w:r>
          </w:p>
          <w:p w14:paraId="1C9FF709">
            <w:pPr>
              <w:spacing w:line="340" w:lineRule="exact"/>
              <w:rPr>
                <w:rFonts w:ascii="Times New Roman" w:hAnsi="Times New Roman" w:cs="Times New Roman"/>
              </w:rPr>
            </w:pPr>
            <w:r>
              <w:rPr>
                <w:rFonts w:ascii="Times New Roman" w:hAnsi="Times New Roman" w:cs="Times New Roman"/>
              </w:rPr>
              <w:t>2.报价币种：人民币。</w:t>
            </w:r>
          </w:p>
          <w:p w14:paraId="3FD4D65B">
            <w:pPr>
              <w:spacing w:line="340" w:lineRule="exact"/>
              <w:rPr>
                <w:rFonts w:ascii="Times New Roman" w:hAnsi="Times New Roman" w:cs="Times New Roman"/>
              </w:rPr>
            </w:pPr>
            <w:r>
              <w:rPr>
                <w:rFonts w:ascii="Times New Roman" w:hAnsi="Times New Roman" w:cs="Times New Roman"/>
              </w:rPr>
              <w:t>3.报价为</w:t>
            </w:r>
            <w:r>
              <w:rPr>
                <w:rFonts w:hint="eastAsia" w:ascii="Times New Roman" w:hAnsi="Times New Roman" w:cs="Times New Roman"/>
                <w:lang w:val="en-US"/>
              </w:rPr>
              <w:t>含</w:t>
            </w:r>
            <w:r>
              <w:rPr>
                <w:rFonts w:ascii="Times New Roman" w:hAnsi="Times New Roman" w:cs="Times New Roman"/>
              </w:rPr>
              <w:t>增值税专用发票价格</w:t>
            </w:r>
          </w:p>
        </w:tc>
      </w:tr>
      <w:tr w14:paraId="20C01B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086" w:type="dxa"/>
            <w:vAlign w:val="center"/>
          </w:tcPr>
          <w:p w14:paraId="4D810D84">
            <w:pPr>
              <w:jc w:val="center"/>
              <w:rPr>
                <w:rFonts w:ascii="Times New Roman" w:hAnsi="Times New Roman" w:cs="Times New Roman"/>
              </w:rPr>
            </w:pPr>
            <w:r>
              <w:rPr>
                <w:rFonts w:ascii="Times New Roman" w:hAnsi="Times New Roman" w:cs="Times New Roman"/>
              </w:rPr>
              <w:t>3.2.2</w:t>
            </w:r>
          </w:p>
        </w:tc>
        <w:tc>
          <w:tcPr>
            <w:tcW w:w="1532" w:type="dxa"/>
            <w:vAlign w:val="center"/>
          </w:tcPr>
          <w:p w14:paraId="6AF071DE">
            <w:pPr>
              <w:spacing w:line="360" w:lineRule="exact"/>
              <w:jc w:val="center"/>
              <w:rPr>
                <w:rFonts w:ascii="Times New Roman" w:hAnsi="Times New Roman" w:cs="Times New Roman"/>
              </w:rPr>
            </w:pPr>
            <w:r>
              <w:rPr>
                <w:rFonts w:ascii="Times New Roman" w:hAnsi="Times New Roman" w:cs="Times New Roman"/>
              </w:rPr>
              <w:t>投标报价修改</w:t>
            </w:r>
          </w:p>
        </w:tc>
        <w:tc>
          <w:tcPr>
            <w:tcW w:w="7151" w:type="dxa"/>
            <w:gridSpan w:val="2"/>
            <w:vAlign w:val="center"/>
          </w:tcPr>
          <w:p w14:paraId="254D4796">
            <w:pPr>
              <w:spacing w:line="340" w:lineRule="exact"/>
              <w:rPr>
                <w:rFonts w:ascii="Times New Roman" w:hAnsi="Times New Roman" w:cs="Times New Roman"/>
              </w:rPr>
            </w:pPr>
            <w:r>
              <w:rPr>
                <w:rFonts w:ascii="Times New Roman" w:hAnsi="Times New Roman" w:cs="Times New Roman"/>
              </w:rPr>
              <w:t>投标人在谈判开始时间前修改报价函中的总报价，应同时修改“报价组成表”中的相应价格。</w:t>
            </w:r>
          </w:p>
        </w:tc>
      </w:tr>
      <w:tr w14:paraId="78C0B4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086" w:type="dxa"/>
            <w:vAlign w:val="center"/>
          </w:tcPr>
          <w:p w14:paraId="04F4D7C3">
            <w:pPr>
              <w:jc w:val="center"/>
              <w:rPr>
                <w:rFonts w:ascii="Times New Roman" w:hAnsi="Times New Roman" w:cs="Times New Roman"/>
              </w:rPr>
            </w:pPr>
            <w:r>
              <w:rPr>
                <w:rFonts w:ascii="Times New Roman" w:hAnsi="Times New Roman" w:cs="Times New Roman"/>
              </w:rPr>
              <w:t>3.3.1</w:t>
            </w:r>
          </w:p>
        </w:tc>
        <w:tc>
          <w:tcPr>
            <w:tcW w:w="1532" w:type="dxa"/>
            <w:vAlign w:val="center"/>
          </w:tcPr>
          <w:p w14:paraId="40060CDC">
            <w:pPr>
              <w:spacing w:line="360" w:lineRule="exact"/>
              <w:jc w:val="center"/>
              <w:rPr>
                <w:rFonts w:ascii="Times New Roman" w:hAnsi="Times New Roman" w:cs="Times New Roman"/>
              </w:rPr>
            </w:pPr>
            <w:r>
              <w:rPr>
                <w:rFonts w:ascii="Times New Roman" w:hAnsi="Times New Roman" w:cs="Times New Roman"/>
              </w:rPr>
              <w:t>谈判有效期</w:t>
            </w:r>
          </w:p>
        </w:tc>
        <w:tc>
          <w:tcPr>
            <w:tcW w:w="7151" w:type="dxa"/>
            <w:gridSpan w:val="2"/>
            <w:vAlign w:val="center"/>
          </w:tcPr>
          <w:p w14:paraId="43283687">
            <w:pPr>
              <w:spacing w:line="340" w:lineRule="exact"/>
              <w:rPr>
                <w:rFonts w:ascii="Times New Roman" w:hAnsi="Times New Roman" w:cs="Times New Roman"/>
              </w:rPr>
            </w:pPr>
            <w:r>
              <w:rPr>
                <w:rFonts w:ascii="Times New Roman" w:hAnsi="Times New Roman" w:cs="Times New Roman"/>
              </w:rPr>
              <w:t>90日历天（自递交投标文件截止之日起）</w:t>
            </w:r>
          </w:p>
        </w:tc>
      </w:tr>
      <w:tr w14:paraId="1BFCEE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3" w:hRule="atLeast"/>
          <w:jc w:val="center"/>
        </w:trPr>
        <w:tc>
          <w:tcPr>
            <w:tcW w:w="1086" w:type="dxa"/>
            <w:vAlign w:val="center"/>
          </w:tcPr>
          <w:p w14:paraId="13D4D731">
            <w:pPr>
              <w:jc w:val="center"/>
              <w:rPr>
                <w:rFonts w:ascii="Times New Roman" w:hAnsi="Times New Roman" w:cs="Times New Roman"/>
              </w:rPr>
            </w:pPr>
            <w:r>
              <w:rPr>
                <w:rFonts w:ascii="Times New Roman" w:hAnsi="Times New Roman" w:cs="Times New Roman"/>
              </w:rPr>
              <w:t>3.4</w:t>
            </w:r>
          </w:p>
        </w:tc>
        <w:tc>
          <w:tcPr>
            <w:tcW w:w="1532" w:type="dxa"/>
            <w:vAlign w:val="center"/>
          </w:tcPr>
          <w:p w14:paraId="67502048">
            <w:pPr>
              <w:spacing w:line="360" w:lineRule="exact"/>
              <w:jc w:val="center"/>
              <w:rPr>
                <w:rFonts w:ascii="Times New Roman" w:hAnsi="Times New Roman" w:cs="Times New Roman"/>
              </w:rPr>
            </w:pPr>
            <w:r>
              <w:rPr>
                <w:rFonts w:ascii="Times New Roman" w:hAnsi="Times New Roman" w:cs="Times New Roman"/>
              </w:rPr>
              <w:t>投标保证金</w:t>
            </w:r>
          </w:p>
        </w:tc>
        <w:tc>
          <w:tcPr>
            <w:tcW w:w="7151" w:type="dxa"/>
            <w:gridSpan w:val="2"/>
            <w:vAlign w:val="center"/>
          </w:tcPr>
          <w:p w14:paraId="07F34DD1">
            <w:pPr>
              <w:spacing w:line="340" w:lineRule="exact"/>
              <w:rPr>
                <w:rFonts w:ascii="Times New Roman" w:hAnsi="Times New Roman" w:cs="Times New Roman"/>
                <w:color w:val="FF0000"/>
              </w:rPr>
            </w:pPr>
            <w:r>
              <w:rPr>
                <w:rFonts w:hint="eastAsia" w:ascii="Times New Roman" w:hAnsi="Times New Roman" w:cs="Times New Roman"/>
                <w:color w:val="auto"/>
              </w:rPr>
              <w:t>无</w:t>
            </w:r>
          </w:p>
        </w:tc>
      </w:tr>
      <w:tr w14:paraId="1CED30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086" w:type="dxa"/>
            <w:vAlign w:val="center"/>
          </w:tcPr>
          <w:p w14:paraId="515162C4">
            <w:pPr>
              <w:jc w:val="center"/>
              <w:rPr>
                <w:rFonts w:ascii="Times New Roman" w:hAnsi="Times New Roman" w:cs="Times New Roman"/>
              </w:rPr>
            </w:pPr>
            <w:r>
              <w:rPr>
                <w:rFonts w:ascii="Times New Roman" w:hAnsi="Times New Roman" w:cs="Times New Roman"/>
              </w:rPr>
              <w:t>3.5.</w:t>
            </w:r>
          </w:p>
        </w:tc>
        <w:tc>
          <w:tcPr>
            <w:tcW w:w="1532" w:type="dxa"/>
            <w:vAlign w:val="center"/>
          </w:tcPr>
          <w:p w14:paraId="3A46D225">
            <w:pPr>
              <w:spacing w:line="360" w:lineRule="exact"/>
              <w:jc w:val="center"/>
              <w:rPr>
                <w:rFonts w:ascii="Times New Roman" w:hAnsi="Times New Roman" w:cs="Times New Roman"/>
                <w:color w:val="FF0000"/>
              </w:rPr>
            </w:pPr>
            <w:r>
              <w:rPr>
                <w:rFonts w:ascii="Times New Roman" w:hAnsi="Times New Roman" w:cs="Times New Roman"/>
              </w:rPr>
              <w:t>资格审查</w:t>
            </w:r>
          </w:p>
        </w:tc>
        <w:tc>
          <w:tcPr>
            <w:tcW w:w="7151" w:type="dxa"/>
            <w:gridSpan w:val="2"/>
            <w:shd w:val="clear" w:color="auto" w:fill="auto"/>
            <w:vAlign w:val="center"/>
          </w:tcPr>
          <w:p w14:paraId="49F8A038">
            <w:pPr>
              <w:spacing w:line="340" w:lineRule="exact"/>
              <w:ind w:firstLine="480" w:firstLineChars="200"/>
              <w:rPr>
                <w:rFonts w:ascii="Times New Roman" w:hAnsi="Times New Roman" w:cs="Times New Roman"/>
              </w:rPr>
            </w:pPr>
            <w:r>
              <w:rPr>
                <w:rFonts w:ascii="Times New Roman" w:hAnsi="Times New Roman" w:cs="Times New Roman"/>
              </w:rPr>
              <w:t>1、评</w:t>
            </w:r>
            <w:r>
              <w:rPr>
                <w:rFonts w:hint="eastAsia" w:ascii="Times New Roman" w:hAnsi="Times New Roman" w:cs="Times New Roman"/>
              </w:rPr>
              <w:t>审</w:t>
            </w:r>
            <w:r>
              <w:rPr>
                <w:rFonts w:ascii="Times New Roman" w:hAnsi="Times New Roman" w:cs="Times New Roman"/>
              </w:rPr>
              <w:t>委员会对投标人的初步评审文件（电子版）进行评审。评审合格的进入下一阶段评标；评标不合格的取消其谈判资格，</w:t>
            </w:r>
            <w:r>
              <w:rPr>
                <w:rFonts w:hint="eastAsia" w:ascii="Times New Roman" w:hAnsi="Times New Roman" w:cs="Times New Roman"/>
              </w:rPr>
              <w:t>响应</w:t>
            </w:r>
            <w:r>
              <w:rPr>
                <w:rFonts w:ascii="Times New Roman" w:hAnsi="Times New Roman" w:cs="Times New Roman"/>
              </w:rPr>
              <w:t>文件不退还。</w:t>
            </w:r>
          </w:p>
          <w:p w14:paraId="622768D2">
            <w:pPr>
              <w:spacing w:line="340" w:lineRule="exact"/>
              <w:ind w:firstLine="480" w:firstLineChars="200"/>
              <w:rPr>
                <w:rFonts w:ascii="Times New Roman" w:hAnsi="Times New Roman" w:cs="Times New Roman"/>
              </w:rPr>
            </w:pPr>
            <w:r>
              <w:rPr>
                <w:rFonts w:ascii="Times New Roman" w:hAnsi="Times New Roman" w:cs="Times New Roman"/>
              </w:rPr>
              <w:t>2、制作初步评审文件（电子版）后，在</w:t>
            </w:r>
            <w:r>
              <w:rPr>
                <w:rFonts w:ascii="Times New Roman" w:hAnsi="Times New Roman" w:cs="Times New Roman"/>
                <w:highlight w:val="none"/>
              </w:rPr>
              <w:t>202</w:t>
            </w:r>
            <w:r>
              <w:rPr>
                <w:rFonts w:hint="eastAsia" w:ascii="Times New Roman" w:hAnsi="Times New Roman" w:cs="Times New Roman"/>
                <w:highlight w:val="none"/>
                <w:lang w:val="en-US"/>
              </w:rPr>
              <w:t>6</w:t>
            </w:r>
            <w:r>
              <w:rPr>
                <w:rFonts w:ascii="Times New Roman" w:hAnsi="Times New Roman" w:cs="Times New Roman"/>
                <w:highlight w:val="none"/>
              </w:rPr>
              <w:t>年</w:t>
            </w:r>
            <w:r>
              <w:rPr>
                <w:rFonts w:hint="eastAsia" w:ascii="Times New Roman" w:hAnsi="Times New Roman" w:cs="Times New Roman"/>
                <w:highlight w:val="none"/>
                <w:lang w:val="en-US" w:eastAsia="zh-CN"/>
              </w:rPr>
              <w:t>1</w:t>
            </w:r>
            <w:r>
              <w:rPr>
                <w:rFonts w:ascii="Times New Roman" w:hAnsi="Times New Roman" w:cs="Times New Roman"/>
                <w:highlight w:val="none"/>
              </w:rPr>
              <w:t>月</w:t>
            </w:r>
            <w:r>
              <w:rPr>
                <w:rFonts w:hint="eastAsia" w:ascii="Times New Roman" w:hAnsi="Times New Roman" w:cs="Times New Roman"/>
                <w:highlight w:val="none"/>
                <w:lang w:val="en-US" w:eastAsia="zh-CN"/>
              </w:rPr>
              <w:t>16</w:t>
            </w:r>
            <w:r>
              <w:rPr>
                <w:rFonts w:ascii="Times New Roman" w:hAnsi="Times New Roman" w:cs="Times New Roman"/>
                <w:highlight w:val="none"/>
              </w:rPr>
              <w:t>日上午</w:t>
            </w:r>
            <w:r>
              <w:rPr>
                <w:rFonts w:hint="eastAsia" w:ascii="Times New Roman" w:hAnsi="Times New Roman" w:cs="Times New Roman"/>
                <w:highlight w:val="none"/>
                <w:lang w:val="en-US"/>
              </w:rPr>
              <w:t>9</w:t>
            </w:r>
            <w:r>
              <w:rPr>
                <w:rFonts w:ascii="Times New Roman" w:hAnsi="Times New Roman" w:cs="Times New Roman"/>
                <w:highlight w:val="none"/>
              </w:rPr>
              <w:t xml:space="preserve"> 点</w:t>
            </w:r>
            <w:r>
              <w:rPr>
                <w:rFonts w:hint="eastAsia" w:ascii="Times New Roman" w:hAnsi="Times New Roman" w:cs="Times New Roman"/>
                <w:highlight w:val="none"/>
                <w:lang w:val="en-US"/>
              </w:rPr>
              <w:t>前</w:t>
            </w:r>
            <w:r>
              <w:rPr>
                <w:rFonts w:ascii="Times New Roman" w:hAnsi="Times New Roman" w:cs="Times New Roman"/>
                <w:highlight w:val="none"/>
              </w:rPr>
              <w:t>，上传报名网站</w:t>
            </w:r>
          </w:p>
        </w:tc>
      </w:tr>
      <w:tr w14:paraId="40A3C7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086" w:type="dxa"/>
            <w:vAlign w:val="center"/>
          </w:tcPr>
          <w:p w14:paraId="5265EF40">
            <w:pPr>
              <w:jc w:val="center"/>
              <w:rPr>
                <w:rFonts w:ascii="Times New Roman" w:hAnsi="Times New Roman" w:cs="Times New Roman"/>
              </w:rPr>
            </w:pPr>
            <w:r>
              <w:rPr>
                <w:rFonts w:ascii="Times New Roman" w:hAnsi="Times New Roman" w:cs="Times New Roman"/>
              </w:rPr>
              <w:t>3.5.2</w:t>
            </w:r>
          </w:p>
        </w:tc>
        <w:tc>
          <w:tcPr>
            <w:tcW w:w="1532" w:type="dxa"/>
            <w:vAlign w:val="center"/>
          </w:tcPr>
          <w:p w14:paraId="2B984750">
            <w:pPr>
              <w:spacing w:line="360" w:lineRule="exact"/>
              <w:jc w:val="center"/>
              <w:rPr>
                <w:rFonts w:ascii="Times New Roman" w:hAnsi="Times New Roman" w:cs="Times New Roman"/>
                <w:lang w:val="en-US"/>
              </w:rPr>
            </w:pPr>
            <w:r>
              <w:rPr>
                <w:rFonts w:hint="eastAsia" w:ascii="Times New Roman" w:hAnsi="Times New Roman" w:cs="Times New Roman"/>
              </w:rPr>
              <w:t>提供</w:t>
            </w:r>
            <w:r>
              <w:rPr>
                <w:rFonts w:ascii="Times New Roman" w:hAnsi="Times New Roman" w:cs="Times New Roman"/>
              </w:rPr>
              <w:t>近3年财务审计报告</w:t>
            </w:r>
            <w:r>
              <w:rPr>
                <w:rFonts w:hint="eastAsia" w:ascii="Times New Roman" w:hAnsi="Times New Roman" w:cs="Times New Roman"/>
                <w:lang w:val="en-US"/>
              </w:rPr>
              <w:t>或财务报表</w:t>
            </w:r>
          </w:p>
        </w:tc>
        <w:tc>
          <w:tcPr>
            <w:tcW w:w="7151" w:type="dxa"/>
            <w:gridSpan w:val="2"/>
            <w:shd w:val="clear" w:color="auto" w:fill="auto"/>
            <w:vAlign w:val="center"/>
          </w:tcPr>
          <w:p w14:paraId="0BF49278">
            <w:pPr>
              <w:spacing w:line="340" w:lineRule="exact"/>
              <w:rPr>
                <w:rFonts w:ascii="Times New Roman" w:hAnsi="Times New Roman" w:cs="Times New Roman"/>
              </w:rPr>
            </w:pPr>
            <w:r>
              <w:rPr>
                <w:rFonts w:hint="eastAsia" w:ascii="Times New Roman" w:hAnsi="Times New Roman" w:cs="Times New Roman"/>
              </w:rPr>
              <w:t>提供</w:t>
            </w:r>
            <w:r>
              <w:rPr>
                <w:rFonts w:hint="eastAsia" w:ascii="Times New Roman" w:hAnsi="Times New Roman" w:cs="Times New Roman"/>
                <w:lang w:val="en-US"/>
              </w:rPr>
              <w:t>2022、2023、2024年</w:t>
            </w:r>
            <w:r>
              <w:rPr>
                <w:rFonts w:ascii="Times New Roman" w:hAnsi="Times New Roman" w:cs="Times New Roman"/>
              </w:rPr>
              <w:t>财务审计报告</w:t>
            </w:r>
            <w:r>
              <w:rPr>
                <w:rFonts w:hint="eastAsia" w:ascii="Times New Roman" w:hAnsi="Times New Roman" w:cs="Times New Roman"/>
                <w:lang w:val="en-US"/>
              </w:rPr>
              <w:t>或财务报表</w:t>
            </w:r>
            <w:r>
              <w:rPr>
                <w:rFonts w:ascii="Times New Roman" w:hAnsi="Times New Roman" w:cs="Times New Roman"/>
              </w:rPr>
              <w:t>。</w:t>
            </w:r>
          </w:p>
        </w:tc>
      </w:tr>
      <w:tr w14:paraId="0573A5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086" w:type="dxa"/>
            <w:vAlign w:val="center"/>
          </w:tcPr>
          <w:p w14:paraId="661F00C4">
            <w:pPr>
              <w:jc w:val="center"/>
              <w:rPr>
                <w:rFonts w:ascii="Times New Roman" w:hAnsi="Times New Roman" w:cs="Times New Roman"/>
              </w:rPr>
            </w:pPr>
            <w:r>
              <w:rPr>
                <w:rFonts w:ascii="Times New Roman" w:hAnsi="Times New Roman" w:cs="Times New Roman"/>
              </w:rPr>
              <w:t>3.5.3</w:t>
            </w:r>
          </w:p>
        </w:tc>
        <w:tc>
          <w:tcPr>
            <w:tcW w:w="1532" w:type="dxa"/>
            <w:vAlign w:val="center"/>
          </w:tcPr>
          <w:p w14:paraId="4E6D5357">
            <w:pPr>
              <w:spacing w:line="360" w:lineRule="exact"/>
              <w:jc w:val="center"/>
              <w:rPr>
                <w:rFonts w:ascii="Times New Roman" w:hAnsi="Times New Roman" w:cs="Times New Roman"/>
              </w:rPr>
            </w:pPr>
            <w:r>
              <w:rPr>
                <w:rFonts w:ascii="Times New Roman" w:hAnsi="Times New Roman" w:cs="Times New Roman"/>
              </w:rPr>
              <w:t>近3年完成的类似项目</w:t>
            </w:r>
          </w:p>
        </w:tc>
        <w:tc>
          <w:tcPr>
            <w:tcW w:w="7151" w:type="dxa"/>
            <w:gridSpan w:val="2"/>
            <w:shd w:val="clear" w:color="auto" w:fill="auto"/>
            <w:vAlign w:val="center"/>
          </w:tcPr>
          <w:p w14:paraId="53231F46">
            <w:pPr>
              <w:spacing w:line="340" w:lineRule="exact"/>
              <w:rPr>
                <w:rFonts w:ascii="Times New Roman" w:hAnsi="Times New Roman" w:cs="Times New Roman"/>
              </w:rPr>
            </w:pPr>
            <w:r>
              <w:rPr>
                <w:rFonts w:ascii="Times New Roman" w:hAnsi="Times New Roman" w:cs="Times New Roman"/>
                <w:shd w:val="clear" w:color="auto" w:fill="FFFFFF" w:themeFill="background1"/>
              </w:rPr>
              <w:t>202</w:t>
            </w:r>
            <w:r>
              <w:rPr>
                <w:rFonts w:hint="eastAsia" w:ascii="Times New Roman" w:hAnsi="Times New Roman" w:cs="Times New Roman"/>
                <w:shd w:val="clear" w:color="auto" w:fill="FFFFFF" w:themeFill="background1"/>
                <w:lang w:val="en-US"/>
              </w:rPr>
              <w:t>3</w:t>
            </w:r>
            <w:r>
              <w:rPr>
                <w:rFonts w:ascii="Times New Roman" w:hAnsi="Times New Roman" w:cs="Times New Roman"/>
                <w:shd w:val="clear" w:color="auto" w:fill="FFFFFF" w:themeFill="background1"/>
              </w:rPr>
              <w:t>年</w:t>
            </w:r>
            <w:r>
              <w:rPr>
                <w:rFonts w:ascii="Times New Roman" w:hAnsi="Times New Roman" w:cs="Times New Roman"/>
              </w:rPr>
              <w:t xml:space="preserve"> 1月 1日至今。</w:t>
            </w:r>
          </w:p>
        </w:tc>
      </w:tr>
      <w:tr w14:paraId="3B0100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40" w:hRule="atLeast"/>
          <w:jc w:val="center"/>
        </w:trPr>
        <w:tc>
          <w:tcPr>
            <w:tcW w:w="1086" w:type="dxa"/>
            <w:vAlign w:val="center"/>
          </w:tcPr>
          <w:p w14:paraId="4092E7FC">
            <w:pPr>
              <w:jc w:val="center"/>
              <w:rPr>
                <w:rFonts w:ascii="Times New Roman" w:hAnsi="Times New Roman" w:cs="Times New Roman"/>
              </w:rPr>
            </w:pPr>
            <w:r>
              <w:rPr>
                <w:rFonts w:ascii="Times New Roman" w:hAnsi="Times New Roman" w:cs="Times New Roman"/>
              </w:rPr>
              <w:t>3.5.4</w:t>
            </w:r>
          </w:p>
        </w:tc>
        <w:tc>
          <w:tcPr>
            <w:tcW w:w="1532" w:type="dxa"/>
            <w:vAlign w:val="center"/>
          </w:tcPr>
          <w:p w14:paraId="5EDA9832">
            <w:pPr>
              <w:spacing w:line="360" w:lineRule="exact"/>
              <w:jc w:val="center"/>
              <w:rPr>
                <w:rFonts w:ascii="Times New Roman" w:hAnsi="Times New Roman" w:cs="Times New Roman"/>
              </w:rPr>
            </w:pPr>
            <w:r>
              <w:rPr>
                <w:rFonts w:ascii="Times New Roman" w:hAnsi="Times New Roman" w:cs="Times New Roman"/>
              </w:rPr>
              <w:t>近3年发生的诉讼及仲裁情况的年份要求</w:t>
            </w:r>
          </w:p>
        </w:tc>
        <w:tc>
          <w:tcPr>
            <w:tcW w:w="7151" w:type="dxa"/>
            <w:gridSpan w:val="2"/>
            <w:shd w:val="clear" w:color="auto" w:fill="auto"/>
            <w:vAlign w:val="center"/>
          </w:tcPr>
          <w:p w14:paraId="030D945A">
            <w:pPr>
              <w:spacing w:line="340" w:lineRule="exact"/>
              <w:rPr>
                <w:rFonts w:ascii="Times New Roman" w:hAnsi="Times New Roman" w:cs="Times New Roman"/>
              </w:rPr>
            </w:pPr>
            <w:r>
              <w:rPr>
                <w:rFonts w:ascii="Times New Roman" w:hAnsi="Times New Roman" w:cs="Times New Roman"/>
              </w:rPr>
              <w:t>202</w:t>
            </w:r>
            <w:r>
              <w:rPr>
                <w:rFonts w:hint="eastAsia" w:ascii="Times New Roman" w:hAnsi="Times New Roman" w:cs="Times New Roman"/>
                <w:lang w:val="en-US"/>
              </w:rPr>
              <w:t>3</w:t>
            </w:r>
            <w:r>
              <w:rPr>
                <w:rFonts w:ascii="Times New Roman" w:hAnsi="Times New Roman" w:cs="Times New Roman"/>
              </w:rPr>
              <w:t>年 1月 1日至今。</w:t>
            </w:r>
          </w:p>
        </w:tc>
      </w:tr>
      <w:tr w14:paraId="6DF526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6" w:hRule="atLeast"/>
          <w:jc w:val="center"/>
        </w:trPr>
        <w:tc>
          <w:tcPr>
            <w:tcW w:w="1086" w:type="dxa"/>
            <w:vAlign w:val="center"/>
          </w:tcPr>
          <w:p w14:paraId="307E5852">
            <w:pPr>
              <w:jc w:val="center"/>
              <w:rPr>
                <w:rFonts w:ascii="Times New Roman" w:hAnsi="Times New Roman" w:cs="Times New Roman"/>
              </w:rPr>
            </w:pPr>
            <w:r>
              <w:rPr>
                <w:rFonts w:ascii="Times New Roman" w:hAnsi="Times New Roman" w:cs="Times New Roman"/>
              </w:rPr>
              <w:t>3.7.1</w:t>
            </w:r>
          </w:p>
        </w:tc>
        <w:tc>
          <w:tcPr>
            <w:tcW w:w="1532" w:type="dxa"/>
            <w:vAlign w:val="center"/>
          </w:tcPr>
          <w:p w14:paraId="7A0F1661">
            <w:pPr>
              <w:spacing w:line="360" w:lineRule="exact"/>
              <w:jc w:val="center"/>
              <w:rPr>
                <w:rFonts w:ascii="Times New Roman" w:hAnsi="Times New Roman" w:cs="Times New Roman"/>
              </w:rPr>
            </w:pPr>
            <w:r>
              <w:rPr>
                <w:rFonts w:ascii="Times New Roman" w:hAnsi="Times New Roman" w:cs="Times New Roman"/>
              </w:rPr>
              <w:t>签字或盖章要求</w:t>
            </w:r>
          </w:p>
        </w:tc>
        <w:tc>
          <w:tcPr>
            <w:tcW w:w="7151" w:type="dxa"/>
            <w:gridSpan w:val="2"/>
            <w:vAlign w:val="center"/>
          </w:tcPr>
          <w:p w14:paraId="2FDA8A37">
            <w:pPr>
              <w:spacing w:line="340" w:lineRule="exact"/>
              <w:rPr>
                <w:rFonts w:ascii="Times New Roman" w:hAnsi="Times New Roman" w:cs="Times New Roman"/>
              </w:rPr>
            </w:pPr>
            <w:r>
              <w:rPr>
                <w:rFonts w:ascii="Times New Roman" w:hAnsi="Times New Roman" w:cs="Times New Roman"/>
              </w:rPr>
              <w:t>投标文件应按第五章“投标文件格式及内容”要求进行签字或盖章，否则其投标文件按照无效处理。</w:t>
            </w:r>
          </w:p>
        </w:tc>
      </w:tr>
      <w:tr w14:paraId="3947B3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086" w:type="dxa"/>
            <w:vAlign w:val="center"/>
          </w:tcPr>
          <w:p w14:paraId="70E39F8C">
            <w:pPr>
              <w:jc w:val="center"/>
              <w:rPr>
                <w:rFonts w:ascii="Times New Roman" w:hAnsi="Times New Roman" w:cs="Times New Roman"/>
              </w:rPr>
            </w:pPr>
            <w:r>
              <w:rPr>
                <w:rFonts w:ascii="Times New Roman" w:hAnsi="Times New Roman" w:cs="Times New Roman"/>
              </w:rPr>
              <w:t>3.7.2</w:t>
            </w:r>
          </w:p>
        </w:tc>
        <w:tc>
          <w:tcPr>
            <w:tcW w:w="1532" w:type="dxa"/>
            <w:vAlign w:val="center"/>
          </w:tcPr>
          <w:p w14:paraId="676CC075">
            <w:pPr>
              <w:spacing w:line="360" w:lineRule="exact"/>
              <w:jc w:val="center"/>
              <w:rPr>
                <w:rFonts w:ascii="Times New Roman" w:hAnsi="Times New Roman" w:cs="Times New Roman"/>
              </w:rPr>
            </w:pPr>
            <w:r>
              <w:rPr>
                <w:rFonts w:hint="eastAsia" w:ascii="Times New Roman" w:hAnsi="Times New Roman" w:cs="Times New Roman"/>
              </w:rPr>
              <w:t>谈判</w:t>
            </w:r>
            <w:r>
              <w:rPr>
                <w:rFonts w:ascii="Times New Roman" w:hAnsi="Times New Roman" w:cs="Times New Roman"/>
              </w:rPr>
              <w:t>文件份数</w:t>
            </w:r>
          </w:p>
        </w:tc>
        <w:tc>
          <w:tcPr>
            <w:tcW w:w="7151" w:type="dxa"/>
            <w:gridSpan w:val="2"/>
            <w:vAlign w:val="center"/>
          </w:tcPr>
          <w:p w14:paraId="5220396C">
            <w:pPr>
              <w:spacing w:line="340" w:lineRule="exact"/>
              <w:rPr>
                <w:rFonts w:ascii="Times New Roman" w:hAnsi="Times New Roman" w:cs="Times New Roman"/>
                <w:b/>
              </w:rPr>
            </w:pPr>
            <w:r>
              <w:rPr>
                <w:rFonts w:ascii="Times New Roman" w:hAnsi="Times New Roman" w:cs="Times New Roman"/>
              </w:rPr>
              <w:t>中标人提供正本壹份，副本壹份。</w:t>
            </w:r>
          </w:p>
        </w:tc>
      </w:tr>
      <w:tr w14:paraId="1CE367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71" w:hRule="atLeast"/>
          <w:jc w:val="center"/>
        </w:trPr>
        <w:tc>
          <w:tcPr>
            <w:tcW w:w="1086" w:type="dxa"/>
            <w:vAlign w:val="center"/>
          </w:tcPr>
          <w:p w14:paraId="0EC9E24C">
            <w:pPr>
              <w:jc w:val="center"/>
              <w:rPr>
                <w:rFonts w:ascii="Times New Roman" w:hAnsi="Times New Roman" w:cs="Times New Roman"/>
              </w:rPr>
            </w:pPr>
            <w:r>
              <w:rPr>
                <w:rFonts w:ascii="Times New Roman" w:hAnsi="Times New Roman" w:cs="Times New Roman"/>
              </w:rPr>
              <w:t>3.7.3</w:t>
            </w:r>
          </w:p>
        </w:tc>
        <w:tc>
          <w:tcPr>
            <w:tcW w:w="1532" w:type="dxa"/>
            <w:vAlign w:val="center"/>
          </w:tcPr>
          <w:p w14:paraId="71FB25C5">
            <w:pPr>
              <w:spacing w:line="360" w:lineRule="exact"/>
              <w:ind w:left="120" w:leftChars="-50" w:right="-120" w:rightChars="-50" w:hanging="240" w:hangingChars="100"/>
              <w:jc w:val="center"/>
              <w:rPr>
                <w:rFonts w:ascii="Times New Roman" w:hAnsi="Times New Roman" w:cs="Times New Roman"/>
              </w:rPr>
            </w:pPr>
            <w:r>
              <w:rPr>
                <w:rFonts w:ascii="Times New Roman" w:hAnsi="Times New Roman" w:cs="Times New Roman"/>
              </w:rPr>
              <w:t>纸质</w:t>
            </w:r>
            <w:r>
              <w:rPr>
                <w:rFonts w:hint="eastAsia" w:ascii="Times New Roman" w:hAnsi="Times New Roman" w:cs="Times New Roman"/>
              </w:rPr>
              <w:t>响应</w:t>
            </w:r>
            <w:r>
              <w:rPr>
                <w:rFonts w:ascii="Times New Roman" w:hAnsi="Times New Roman" w:cs="Times New Roman"/>
              </w:rPr>
              <w:t>文件装订要求（中标单位提供纸质版投标文件）</w:t>
            </w:r>
          </w:p>
        </w:tc>
        <w:tc>
          <w:tcPr>
            <w:tcW w:w="7151" w:type="dxa"/>
            <w:gridSpan w:val="2"/>
            <w:vAlign w:val="center"/>
          </w:tcPr>
          <w:p w14:paraId="4AE4DE31">
            <w:pPr>
              <w:spacing w:line="340" w:lineRule="exact"/>
              <w:rPr>
                <w:rFonts w:ascii="Times New Roman" w:hAnsi="Times New Roman" w:cs="Times New Roman"/>
              </w:rPr>
            </w:pPr>
            <w:r>
              <w:rPr>
                <w:rFonts w:ascii="Times New Roman" w:hAnsi="Times New Roman" w:cs="Times New Roman"/>
              </w:rPr>
              <w:t>1、</w:t>
            </w:r>
            <w:r>
              <w:rPr>
                <w:rFonts w:hint="eastAsia" w:ascii="Times New Roman" w:hAnsi="Times New Roman" w:cs="Times New Roman"/>
              </w:rPr>
              <w:t>响应</w:t>
            </w:r>
            <w:r>
              <w:rPr>
                <w:rFonts w:ascii="Times New Roman" w:hAnsi="Times New Roman" w:cs="Times New Roman"/>
              </w:rPr>
              <w:t>文件的正本与副本应分别装订成册。</w:t>
            </w:r>
          </w:p>
          <w:p w14:paraId="492CDFBB">
            <w:pPr>
              <w:spacing w:line="340" w:lineRule="exact"/>
              <w:rPr>
                <w:rFonts w:ascii="Times New Roman" w:hAnsi="Times New Roman" w:cs="Times New Roman"/>
              </w:rPr>
            </w:pPr>
            <w:r>
              <w:rPr>
                <w:rFonts w:ascii="Times New Roman" w:hAnsi="Times New Roman" w:cs="Times New Roman"/>
              </w:rPr>
              <w:t>2、</w:t>
            </w:r>
            <w:r>
              <w:rPr>
                <w:rFonts w:hint="eastAsia" w:ascii="Times New Roman" w:hAnsi="Times New Roman" w:cs="Times New Roman"/>
              </w:rPr>
              <w:t>响应</w:t>
            </w:r>
            <w:r>
              <w:rPr>
                <w:rFonts w:ascii="Times New Roman" w:hAnsi="Times New Roman" w:cs="Times New Roman"/>
              </w:rPr>
              <w:t>文件每册均须采用胶装方式在左侧装订，装订须牢固不易拆散和换页，不得采用活页方式装订。</w:t>
            </w:r>
          </w:p>
          <w:p w14:paraId="598FF248">
            <w:pPr>
              <w:spacing w:line="360" w:lineRule="exact"/>
              <w:ind w:right="-120" w:rightChars="-50"/>
              <w:rPr>
                <w:rFonts w:ascii="Times New Roman" w:hAnsi="Times New Roman" w:cs="Times New Roman"/>
              </w:rPr>
            </w:pPr>
            <w:r>
              <w:rPr>
                <w:rFonts w:ascii="Times New Roman" w:hAnsi="Times New Roman" w:cs="Times New Roman"/>
              </w:rPr>
              <w:t>3、</w:t>
            </w:r>
            <w:r>
              <w:rPr>
                <w:rFonts w:hint="eastAsia" w:ascii="Times New Roman" w:hAnsi="Times New Roman" w:cs="Times New Roman"/>
              </w:rPr>
              <w:t>响应</w:t>
            </w:r>
            <w:r>
              <w:rPr>
                <w:rFonts w:ascii="Times New Roman" w:hAnsi="Times New Roman" w:cs="Times New Roman"/>
              </w:rPr>
              <w:t>文件正本和副本的封面上应清楚地标记“正本”或“副本”的字样；正本和副本如有不一致之处，以正本为准。</w:t>
            </w:r>
          </w:p>
          <w:p w14:paraId="024E9CD6">
            <w:pPr>
              <w:spacing w:line="360" w:lineRule="exact"/>
              <w:ind w:right="-120" w:rightChars="-50"/>
              <w:rPr>
                <w:rFonts w:ascii="Times New Roman" w:hAnsi="Times New Roman" w:cs="Times New Roman"/>
                <w:lang w:val="en-US"/>
              </w:rPr>
            </w:pPr>
            <w:r>
              <w:rPr>
                <w:rFonts w:ascii="Times New Roman" w:hAnsi="Times New Roman" w:cs="Times New Roman"/>
              </w:rPr>
              <w:t>4、投标单位收到中标通知书后3日内，需将纸质</w:t>
            </w:r>
            <w:r>
              <w:rPr>
                <w:rFonts w:hint="eastAsia" w:ascii="Times New Roman" w:hAnsi="Times New Roman" w:cs="Times New Roman"/>
              </w:rPr>
              <w:t>响应</w:t>
            </w:r>
            <w:r>
              <w:rPr>
                <w:rFonts w:ascii="Times New Roman" w:hAnsi="Times New Roman" w:cs="Times New Roman"/>
              </w:rPr>
              <w:t>文件邮寄到山东省济南市官庄街道青野村东，山东济钢环保新材料有限公司，收件人：</w:t>
            </w:r>
            <w:r>
              <w:rPr>
                <w:rFonts w:hint="eastAsia" w:ascii="Times New Roman" w:hAnsi="Times New Roman" w:cs="Times New Roman"/>
                <w:lang w:val="en-US"/>
              </w:rPr>
              <w:t>于</w:t>
            </w:r>
            <w:r>
              <w:rPr>
                <w:rFonts w:ascii="Times New Roman" w:hAnsi="Times New Roman" w:cs="Times New Roman"/>
              </w:rPr>
              <w:t>工，收件人手机号：</w:t>
            </w:r>
            <w:r>
              <w:rPr>
                <w:rFonts w:hint="eastAsia" w:ascii="Times New Roman" w:hAnsi="Times New Roman" w:cs="Times New Roman"/>
                <w:lang w:val="en-US"/>
              </w:rPr>
              <w:t>17860611790</w:t>
            </w:r>
          </w:p>
        </w:tc>
      </w:tr>
      <w:tr w14:paraId="303769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jc w:val="center"/>
        </w:trPr>
        <w:tc>
          <w:tcPr>
            <w:tcW w:w="1086" w:type="dxa"/>
            <w:vAlign w:val="center"/>
          </w:tcPr>
          <w:p w14:paraId="5B0E3371">
            <w:pPr>
              <w:jc w:val="center"/>
              <w:rPr>
                <w:rFonts w:ascii="Times New Roman" w:hAnsi="Times New Roman" w:cs="Times New Roman"/>
              </w:rPr>
            </w:pPr>
            <w:r>
              <w:rPr>
                <w:rFonts w:ascii="Times New Roman" w:hAnsi="Times New Roman" w:cs="Times New Roman"/>
              </w:rPr>
              <w:t>3.7.4</w:t>
            </w:r>
          </w:p>
        </w:tc>
        <w:tc>
          <w:tcPr>
            <w:tcW w:w="1532" w:type="dxa"/>
            <w:vAlign w:val="center"/>
          </w:tcPr>
          <w:p w14:paraId="4AD858BB">
            <w:pPr>
              <w:spacing w:line="360" w:lineRule="exact"/>
              <w:ind w:left="240" w:hanging="240" w:hangingChars="100"/>
              <w:jc w:val="center"/>
              <w:rPr>
                <w:rFonts w:ascii="Times New Roman" w:hAnsi="Times New Roman" w:cs="Times New Roman"/>
              </w:rPr>
            </w:pPr>
            <w:r>
              <w:rPr>
                <w:rFonts w:ascii="Times New Roman" w:hAnsi="Times New Roman" w:cs="Times New Roman"/>
              </w:rPr>
              <w:t>电子文档</w:t>
            </w:r>
          </w:p>
        </w:tc>
        <w:tc>
          <w:tcPr>
            <w:tcW w:w="7151" w:type="dxa"/>
            <w:gridSpan w:val="2"/>
            <w:vAlign w:val="center"/>
          </w:tcPr>
          <w:p w14:paraId="68D0E03D">
            <w:pPr>
              <w:spacing w:line="340" w:lineRule="exact"/>
              <w:rPr>
                <w:rFonts w:ascii="Times New Roman" w:hAnsi="Times New Roman" w:cs="Times New Roman"/>
                <w:bCs/>
              </w:rPr>
            </w:pPr>
            <w:r>
              <w:rPr>
                <w:rFonts w:ascii="Times New Roman" w:hAnsi="Times New Roman" w:cs="Times New Roman"/>
              </w:rPr>
              <w:t>提供应文件电子版上传网站，投标文件电子版文件格式为可编辑的Word“*.doc”、“*.docx”或Excel“*.xls”、“*.xlsx”，</w:t>
            </w:r>
          </w:p>
        </w:tc>
      </w:tr>
      <w:tr w14:paraId="28E0A7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3" w:hRule="atLeast"/>
          <w:jc w:val="center"/>
        </w:trPr>
        <w:tc>
          <w:tcPr>
            <w:tcW w:w="1086" w:type="dxa"/>
            <w:vAlign w:val="center"/>
          </w:tcPr>
          <w:p w14:paraId="58E9E2FA">
            <w:pPr>
              <w:spacing w:line="442" w:lineRule="exact"/>
              <w:jc w:val="center"/>
              <w:rPr>
                <w:rFonts w:ascii="Times New Roman" w:hAnsi="Times New Roman" w:eastAsia="仿宋" w:cs="Times New Roman"/>
              </w:rPr>
            </w:pPr>
            <w:r>
              <w:rPr>
                <w:rFonts w:ascii="Times New Roman" w:hAnsi="Times New Roman" w:eastAsia="仿宋" w:cs="Times New Roman"/>
              </w:rPr>
              <w:t>4.2.1</w:t>
            </w:r>
          </w:p>
        </w:tc>
        <w:tc>
          <w:tcPr>
            <w:tcW w:w="1532" w:type="dxa"/>
            <w:vAlign w:val="center"/>
          </w:tcPr>
          <w:p w14:paraId="1FB58962">
            <w:pPr>
              <w:spacing w:line="360" w:lineRule="exact"/>
              <w:ind w:left="240" w:hanging="240" w:hangingChars="100"/>
              <w:rPr>
                <w:rFonts w:ascii="Times New Roman" w:hAnsi="Times New Roman" w:cs="Times New Roman"/>
                <w:highlight w:val="none"/>
              </w:rPr>
            </w:pPr>
            <w:r>
              <w:rPr>
                <w:rFonts w:ascii="Times New Roman" w:hAnsi="Times New Roman" w:cs="Times New Roman"/>
                <w:highlight w:val="none"/>
              </w:rPr>
              <w:t>递交</w:t>
            </w:r>
            <w:r>
              <w:rPr>
                <w:rFonts w:hint="eastAsia" w:ascii="Times New Roman" w:hAnsi="Times New Roman" w:cs="Times New Roman"/>
                <w:highlight w:val="none"/>
              </w:rPr>
              <w:t>响应</w:t>
            </w:r>
            <w:r>
              <w:rPr>
                <w:rFonts w:ascii="Times New Roman" w:hAnsi="Times New Roman" w:cs="Times New Roman"/>
                <w:highlight w:val="none"/>
              </w:rPr>
              <w:t>文件截止时间</w:t>
            </w:r>
          </w:p>
        </w:tc>
        <w:tc>
          <w:tcPr>
            <w:tcW w:w="7151" w:type="dxa"/>
            <w:gridSpan w:val="2"/>
            <w:vAlign w:val="center"/>
          </w:tcPr>
          <w:p w14:paraId="1264320C">
            <w:pPr>
              <w:spacing w:line="360" w:lineRule="exact"/>
              <w:ind w:left="240" w:hanging="240" w:hangingChars="100"/>
              <w:rPr>
                <w:rFonts w:ascii="Times New Roman" w:hAnsi="Times New Roman" w:cs="Times New Roman"/>
                <w:highlight w:val="none"/>
              </w:rPr>
            </w:pPr>
            <w:r>
              <w:rPr>
                <w:rFonts w:ascii="Times New Roman" w:hAnsi="Times New Roman" w:cs="Times New Roman"/>
                <w:highlight w:val="none"/>
              </w:rPr>
              <w:t>202</w:t>
            </w:r>
            <w:r>
              <w:rPr>
                <w:rFonts w:hint="eastAsia" w:ascii="Times New Roman" w:hAnsi="Times New Roman" w:cs="Times New Roman"/>
                <w:highlight w:val="none"/>
                <w:lang w:val="en-US"/>
              </w:rPr>
              <w:t>6</w:t>
            </w:r>
            <w:r>
              <w:rPr>
                <w:rFonts w:ascii="Times New Roman" w:hAnsi="Times New Roman" w:cs="Times New Roman"/>
                <w:highlight w:val="none"/>
              </w:rPr>
              <w:t>年</w:t>
            </w:r>
            <w:r>
              <w:rPr>
                <w:rFonts w:hint="eastAsia" w:ascii="Times New Roman" w:hAnsi="Times New Roman" w:cs="Times New Roman"/>
                <w:highlight w:val="none"/>
                <w:lang w:val="en-US" w:eastAsia="zh-CN"/>
              </w:rPr>
              <w:t>1</w:t>
            </w:r>
            <w:r>
              <w:rPr>
                <w:rFonts w:hint="eastAsia" w:ascii="Times New Roman" w:hAnsi="Times New Roman" w:cs="Times New Roman"/>
                <w:highlight w:val="none"/>
                <w:lang w:val="en-US"/>
              </w:rPr>
              <w:t xml:space="preserve"> </w:t>
            </w:r>
            <w:r>
              <w:rPr>
                <w:rFonts w:ascii="Times New Roman" w:hAnsi="Times New Roman" w:cs="Times New Roman"/>
                <w:highlight w:val="none"/>
              </w:rPr>
              <w:t>月</w:t>
            </w:r>
            <w:r>
              <w:rPr>
                <w:rFonts w:hint="eastAsia" w:ascii="Times New Roman" w:hAnsi="Times New Roman" w:cs="Times New Roman"/>
                <w:highlight w:val="none"/>
                <w:lang w:val="en-US" w:eastAsia="zh-CN"/>
              </w:rPr>
              <w:t>16</w:t>
            </w:r>
            <w:r>
              <w:rPr>
                <w:rFonts w:ascii="Times New Roman" w:hAnsi="Times New Roman" w:cs="Times New Roman"/>
                <w:highlight w:val="none"/>
              </w:rPr>
              <w:t>日上午</w:t>
            </w:r>
            <w:r>
              <w:rPr>
                <w:rFonts w:hint="eastAsia" w:ascii="Times New Roman" w:hAnsi="Times New Roman" w:cs="Times New Roman"/>
                <w:highlight w:val="none"/>
                <w:lang w:val="en-US"/>
              </w:rPr>
              <w:t>9</w:t>
            </w:r>
            <w:r>
              <w:rPr>
                <w:rFonts w:ascii="Times New Roman" w:hAnsi="Times New Roman" w:cs="Times New Roman"/>
                <w:highlight w:val="none"/>
              </w:rPr>
              <w:t xml:space="preserve"> 点</w:t>
            </w:r>
          </w:p>
        </w:tc>
      </w:tr>
      <w:tr w14:paraId="603C82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3" w:hRule="atLeast"/>
          <w:jc w:val="center"/>
        </w:trPr>
        <w:tc>
          <w:tcPr>
            <w:tcW w:w="1086" w:type="dxa"/>
            <w:vAlign w:val="center"/>
          </w:tcPr>
          <w:p w14:paraId="4D8FCC09">
            <w:pPr>
              <w:spacing w:line="442" w:lineRule="exact"/>
              <w:jc w:val="center"/>
              <w:rPr>
                <w:rFonts w:ascii="Times New Roman" w:hAnsi="Times New Roman" w:eastAsia="仿宋" w:cs="Times New Roman"/>
              </w:rPr>
            </w:pPr>
            <w:r>
              <w:rPr>
                <w:rFonts w:ascii="Times New Roman" w:hAnsi="Times New Roman" w:eastAsia="仿宋" w:cs="Times New Roman"/>
              </w:rPr>
              <w:t xml:space="preserve">4.2.2 </w:t>
            </w:r>
          </w:p>
        </w:tc>
        <w:tc>
          <w:tcPr>
            <w:tcW w:w="1532" w:type="dxa"/>
            <w:vAlign w:val="center"/>
          </w:tcPr>
          <w:p w14:paraId="20934EF6">
            <w:pPr>
              <w:spacing w:line="360" w:lineRule="exact"/>
              <w:ind w:left="240" w:hanging="240" w:hangingChars="100"/>
              <w:jc w:val="center"/>
              <w:rPr>
                <w:rFonts w:ascii="Times New Roman" w:hAnsi="Times New Roman" w:cs="Times New Roman"/>
              </w:rPr>
            </w:pPr>
            <w:r>
              <w:rPr>
                <w:rFonts w:ascii="Times New Roman" w:hAnsi="Times New Roman" w:cs="Times New Roman"/>
              </w:rPr>
              <w:t>递交</w:t>
            </w:r>
            <w:r>
              <w:rPr>
                <w:rFonts w:hint="eastAsia" w:ascii="Times New Roman" w:hAnsi="Times New Roman" w:cs="Times New Roman"/>
              </w:rPr>
              <w:t>响应</w:t>
            </w:r>
            <w:r>
              <w:rPr>
                <w:rFonts w:ascii="Times New Roman" w:hAnsi="Times New Roman" w:cs="Times New Roman"/>
              </w:rPr>
              <w:t>文件地点</w:t>
            </w:r>
          </w:p>
        </w:tc>
        <w:tc>
          <w:tcPr>
            <w:tcW w:w="7151" w:type="dxa"/>
            <w:gridSpan w:val="2"/>
            <w:vAlign w:val="center"/>
          </w:tcPr>
          <w:p w14:paraId="4E48F71A">
            <w:pPr>
              <w:spacing w:line="360" w:lineRule="exact"/>
              <w:ind w:left="240" w:hanging="240" w:hangingChars="100"/>
              <w:rPr>
                <w:rFonts w:ascii="Times New Roman" w:hAnsi="Times New Roman" w:cs="Times New Roman"/>
              </w:rPr>
            </w:pPr>
            <w:r>
              <w:rPr>
                <w:rFonts w:ascii="Times New Roman" w:hAnsi="Times New Roman" w:cs="Times New Roman"/>
              </w:rPr>
              <w:t>电子版请于规定时间内上传至网址：</w:t>
            </w:r>
            <w:r>
              <w:fldChar w:fldCharType="begin"/>
            </w:r>
            <w:r>
              <w:instrText xml:space="preserve">HYPERLINK "http://bidding.jigang.com.cn/"</w:instrText>
            </w:r>
            <w:r>
              <w:fldChar w:fldCharType="separate"/>
            </w:r>
            <w:r>
              <w:rPr>
                <w:rStyle w:val="28"/>
                <w:rFonts w:ascii="Times New Roman" w:hAnsi="Times New Roman"/>
              </w:rPr>
              <w:t>http://bidding.jigang.com.cn/</w:t>
            </w:r>
            <w:r>
              <w:rPr>
                <w:rStyle w:val="28"/>
                <w:rFonts w:ascii="Times New Roman" w:hAnsi="Times New Roman"/>
              </w:rPr>
              <w:fldChar w:fldCharType="end"/>
            </w:r>
          </w:p>
        </w:tc>
      </w:tr>
      <w:tr w14:paraId="7DDF01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3" w:hRule="atLeast"/>
          <w:jc w:val="center"/>
        </w:trPr>
        <w:tc>
          <w:tcPr>
            <w:tcW w:w="1086" w:type="dxa"/>
            <w:vAlign w:val="center"/>
          </w:tcPr>
          <w:p w14:paraId="0C5706BF">
            <w:pPr>
              <w:jc w:val="center"/>
              <w:rPr>
                <w:rFonts w:ascii="Times New Roman" w:hAnsi="Times New Roman" w:cs="Times New Roman"/>
              </w:rPr>
            </w:pPr>
            <w:r>
              <w:rPr>
                <w:rFonts w:ascii="Times New Roman" w:hAnsi="Times New Roman" w:cs="Times New Roman"/>
              </w:rPr>
              <w:t>4.2.3</w:t>
            </w:r>
          </w:p>
        </w:tc>
        <w:tc>
          <w:tcPr>
            <w:tcW w:w="1532" w:type="dxa"/>
            <w:vAlign w:val="center"/>
          </w:tcPr>
          <w:p w14:paraId="01AA79D3">
            <w:pPr>
              <w:spacing w:line="360" w:lineRule="exact"/>
              <w:ind w:left="240" w:hanging="240" w:hangingChars="100"/>
              <w:jc w:val="center"/>
              <w:rPr>
                <w:rFonts w:ascii="Times New Roman" w:hAnsi="Times New Roman" w:cs="Times New Roman"/>
              </w:rPr>
            </w:pPr>
            <w:r>
              <w:rPr>
                <w:rFonts w:hint="eastAsia" w:ascii="Times New Roman" w:hAnsi="Times New Roman" w:cs="Times New Roman"/>
              </w:rPr>
              <w:t>响应</w:t>
            </w:r>
            <w:r>
              <w:rPr>
                <w:rFonts w:ascii="Times New Roman" w:hAnsi="Times New Roman" w:cs="Times New Roman"/>
              </w:rPr>
              <w:t>文件是否退还</w:t>
            </w:r>
          </w:p>
        </w:tc>
        <w:tc>
          <w:tcPr>
            <w:tcW w:w="7151" w:type="dxa"/>
            <w:gridSpan w:val="2"/>
            <w:vAlign w:val="center"/>
          </w:tcPr>
          <w:p w14:paraId="04103C1E">
            <w:pPr>
              <w:spacing w:line="340" w:lineRule="exact"/>
              <w:ind w:left="240" w:hanging="240" w:hangingChars="100"/>
              <w:rPr>
                <w:rFonts w:ascii="Times New Roman" w:hAnsi="Times New Roman" w:cs="Times New Roman"/>
              </w:rPr>
            </w:pPr>
            <w:r>
              <w:rPr>
                <w:rFonts w:ascii="Times New Roman" w:hAnsi="Times New Roman" w:cs="Times New Roman"/>
              </w:rPr>
              <w:t>否</w:t>
            </w:r>
          </w:p>
        </w:tc>
      </w:tr>
      <w:tr w14:paraId="74087A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3" w:hRule="atLeast"/>
          <w:jc w:val="center"/>
        </w:trPr>
        <w:tc>
          <w:tcPr>
            <w:tcW w:w="1086" w:type="dxa"/>
            <w:vAlign w:val="center"/>
          </w:tcPr>
          <w:p w14:paraId="6F500BD9">
            <w:pPr>
              <w:jc w:val="center"/>
              <w:rPr>
                <w:rFonts w:ascii="Times New Roman" w:hAnsi="Times New Roman" w:cs="Times New Roman"/>
              </w:rPr>
            </w:pPr>
            <w:r>
              <w:rPr>
                <w:rFonts w:ascii="Times New Roman" w:hAnsi="Times New Roman" w:cs="Times New Roman"/>
              </w:rPr>
              <w:t>5.1.1</w:t>
            </w:r>
          </w:p>
        </w:tc>
        <w:tc>
          <w:tcPr>
            <w:tcW w:w="1532" w:type="dxa"/>
            <w:vAlign w:val="center"/>
          </w:tcPr>
          <w:p w14:paraId="6CE375CC">
            <w:pPr>
              <w:spacing w:line="360" w:lineRule="exact"/>
              <w:jc w:val="center"/>
              <w:rPr>
                <w:rFonts w:ascii="Times New Roman" w:hAnsi="Times New Roman" w:cs="Times New Roman"/>
                <w:highlight w:val="none"/>
              </w:rPr>
            </w:pPr>
            <w:r>
              <w:rPr>
                <w:rFonts w:hint="eastAsia" w:ascii="Times New Roman" w:hAnsi="Times New Roman" w:cs="Times New Roman"/>
                <w:highlight w:val="none"/>
              </w:rPr>
              <w:t>谈判</w:t>
            </w:r>
            <w:r>
              <w:rPr>
                <w:rFonts w:ascii="Times New Roman" w:hAnsi="Times New Roman" w:cs="Times New Roman"/>
                <w:highlight w:val="none"/>
              </w:rPr>
              <w:t>时间和</w:t>
            </w:r>
          </w:p>
          <w:p w14:paraId="6D2AF796">
            <w:pPr>
              <w:spacing w:line="360" w:lineRule="exact"/>
              <w:jc w:val="center"/>
              <w:rPr>
                <w:rFonts w:ascii="Times New Roman" w:hAnsi="Times New Roman" w:cs="Times New Roman"/>
                <w:highlight w:val="none"/>
              </w:rPr>
            </w:pPr>
            <w:r>
              <w:rPr>
                <w:rFonts w:ascii="Times New Roman" w:hAnsi="Times New Roman" w:cs="Times New Roman"/>
                <w:highlight w:val="none"/>
              </w:rPr>
              <w:t>方式</w:t>
            </w:r>
          </w:p>
        </w:tc>
        <w:tc>
          <w:tcPr>
            <w:tcW w:w="7151" w:type="dxa"/>
            <w:gridSpan w:val="2"/>
            <w:vAlign w:val="center"/>
          </w:tcPr>
          <w:p w14:paraId="246925A9">
            <w:pPr>
              <w:spacing w:line="340" w:lineRule="exact"/>
              <w:rPr>
                <w:rFonts w:ascii="Times New Roman" w:hAnsi="Times New Roman" w:cs="Times New Roman"/>
                <w:highlight w:val="none"/>
              </w:rPr>
            </w:pPr>
            <w:r>
              <w:rPr>
                <w:rFonts w:hint="eastAsia" w:ascii="Times New Roman" w:hAnsi="Times New Roman" w:cs="Times New Roman"/>
                <w:highlight w:val="none"/>
              </w:rPr>
              <w:t>谈判</w:t>
            </w:r>
            <w:r>
              <w:rPr>
                <w:rFonts w:ascii="Times New Roman" w:hAnsi="Times New Roman" w:cs="Times New Roman"/>
                <w:highlight w:val="none"/>
              </w:rPr>
              <w:t>时间：202</w:t>
            </w:r>
            <w:r>
              <w:rPr>
                <w:rFonts w:hint="eastAsia" w:ascii="Times New Roman" w:hAnsi="Times New Roman" w:cs="Times New Roman"/>
                <w:highlight w:val="none"/>
                <w:lang w:val="en-US"/>
              </w:rPr>
              <w:t>6</w:t>
            </w:r>
            <w:r>
              <w:rPr>
                <w:rFonts w:ascii="Times New Roman" w:hAnsi="Times New Roman" w:cs="Times New Roman"/>
                <w:highlight w:val="none"/>
              </w:rPr>
              <w:t>年</w:t>
            </w:r>
            <w:r>
              <w:rPr>
                <w:rFonts w:hint="eastAsia" w:ascii="Times New Roman" w:hAnsi="Times New Roman" w:cs="Times New Roman"/>
                <w:highlight w:val="none"/>
                <w:lang w:val="en-US" w:eastAsia="zh-CN"/>
              </w:rPr>
              <w:t>1</w:t>
            </w:r>
            <w:r>
              <w:rPr>
                <w:rFonts w:ascii="Times New Roman" w:hAnsi="Times New Roman" w:cs="Times New Roman"/>
                <w:highlight w:val="none"/>
              </w:rPr>
              <w:t>月</w:t>
            </w:r>
            <w:r>
              <w:rPr>
                <w:rFonts w:hint="eastAsia" w:ascii="Times New Roman" w:hAnsi="Times New Roman" w:cs="Times New Roman"/>
                <w:highlight w:val="none"/>
                <w:lang w:val="en-US" w:eastAsia="zh-CN"/>
              </w:rPr>
              <w:t>16</w:t>
            </w:r>
            <w:r>
              <w:rPr>
                <w:rFonts w:ascii="Times New Roman" w:hAnsi="Times New Roman" w:cs="Times New Roman"/>
                <w:highlight w:val="none"/>
              </w:rPr>
              <w:t>日上午</w:t>
            </w:r>
            <w:r>
              <w:rPr>
                <w:rFonts w:hint="eastAsia" w:ascii="Times New Roman" w:hAnsi="Times New Roman" w:cs="Times New Roman"/>
                <w:highlight w:val="none"/>
                <w:lang w:val="en-US"/>
              </w:rPr>
              <w:t>9</w:t>
            </w:r>
            <w:r>
              <w:rPr>
                <w:rFonts w:ascii="Times New Roman" w:hAnsi="Times New Roman" w:cs="Times New Roman"/>
                <w:highlight w:val="none"/>
              </w:rPr>
              <w:t xml:space="preserve"> 点</w:t>
            </w:r>
          </w:p>
          <w:p w14:paraId="70D69B15">
            <w:pPr>
              <w:spacing w:line="340" w:lineRule="exact"/>
              <w:rPr>
                <w:rFonts w:ascii="Times New Roman" w:hAnsi="Times New Roman" w:cs="Times New Roman"/>
                <w:highlight w:val="none"/>
              </w:rPr>
            </w:pPr>
            <w:r>
              <w:rPr>
                <w:rFonts w:hint="eastAsia" w:ascii="Times New Roman" w:hAnsi="Times New Roman" w:cs="Times New Roman"/>
                <w:highlight w:val="none"/>
              </w:rPr>
              <w:t>谈判</w:t>
            </w:r>
            <w:r>
              <w:rPr>
                <w:rFonts w:ascii="Times New Roman" w:hAnsi="Times New Roman" w:cs="Times New Roman"/>
                <w:highlight w:val="none"/>
              </w:rPr>
              <w:t>方式：</w:t>
            </w:r>
            <w:r>
              <w:rPr>
                <w:rFonts w:hint="eastAsia" w:ascii="Times New Roman" w:hAnsi="Times New Roman" w:cs="Times New Roman"/>
                <w:highlight w:val="none"/>
              </w:rPr>
              <w:t>网上谈判，谈判时无需供应商到达现场。</w:t>
            </w:r>
          </w:p>
        </w:tc>
      </w:tr>
      <w:tr w14:paraId="4687F2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086" w:type="dxa"/>
            <w:vAlign w:val="center"/>
          </w:tcPr>
          <w:p w14:paraId="045FB694">
            <w:pPr>
              <w:jc w:val="center"/>
              <w:rPr>
                <w:rFonts w:ascii="Times New Roman" w:hAnsi="Times New Roman" w:cs="Times New Roman"/>
              </w:rPr>
            </w:pPr>
            <w:r>
              <w:rPr>
                <w:rFonts w:ascii="Times New Roman" w:hAnsi="Times New Roman" w:cs="Times New Roman"/>
              </w:rPr>
              <w:t>6.3</w:t>
            </w:r>
          </w:p>
        </w:tc>
        <w:tc>
          <w:tcPr>
            <w:tcW w:w="1532" w:type="dxa"/>
            <w:vAlign w:val="center"/>
          </w:tcPr>
          <w:p w14:paraId="66EC0A54">
            <w:pPr>
              <w:spacing w:line="360" w:lineRule="exact"/>
              <w:jc w:val="center"/>
              <w:rPr>
                <w:rFonts w:ascii="Times New Roman" w:hAnsi="Times New Roman" w:cs="Times New Roman"/>
              </w:rPr>
            </w:pPr>
            <w:r>
              <w:rPr>
                <w:rFonts w:ascii="Times New Roman" w:hAnsi="Times New Roman" w:cs="Times New Roman"/>
              </w:rPr>
              <w:t>评标方法</w:t>
            </w:r>
          </w:p>
        </w:tc>
        <w:tc>
          <w:tcPr>
            <w:tcW w:w="7151" w:type="dxa"/>
            <w:gridSpan w:val="2"/>
            <w:vAlign w:val="center"/>
          </w:tcPr>
          <w:p w14:paraId="08552C0F">
            <w:pPr>
              <w:spacing w:line="340" w:lineRule="exact"/>
              <w:rPr>
                <w:rFonts w:ascii="Times New Roman" w:hAnsi="Times New Roman" w:cs="Times New Roman"/>
                <w:bCs/>
              </w:rPr>
            </w:pPr>
            <w:r>
              <w:rPr>
                <w:rFonts w:ascii="Times New Roman" w:hAnsi="Times New Roman" w:cs="Times New Roman"/>
                <w:bCs/>
              </w:rPr>
              <w:t>综合评标法</w:t>
            </w:r>
            <w:bookmarkStart w:id="307" w:name="_GoBack"/>
            <w:bookmarkEnd w:id="307"/>
          </w:p>
        </w:tc>
      </w:tr>
      <w:tr w14:paraId="7E22FC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3" w:type="dxa"/>
          <w:trHeight w:val="483" w:hRule="atLeast"/>
          <w:jc w:val="center"/>
        </w:trPr>
        <w:tc>
          <w:tcPr>
            <w:tcW w:w="1086" w:type="dxa"/>
            <w:vAlign w:val="center"/>
          </w:tcPr>
          <w:p w14:paraId="686A05D2">
            <w:pPr>
              <w:jc w:val="center"/>
              <w:rPr>
                <w:rFonts w:ascii="Times New Roman" w:hAnsi="Times New Roman" w:cs="Times New Roman"/>
              </w:rPr>
            </w:pPr>
            <w:r>
              <w:rPr>
                <w:rFonts w:ascii="Times New Roman" w:hAnsi="Times New Roman" w:cs="Times New Roman"/>
              </w:rPr>
              <w:t>8.1</w:t>
            </w:r>
          </w:p>
        </w:tc>
        <w:tc>
          <w:tcPr>
            <w:tcW w:w="1532" w:type="dxa"/>
            <w:vAlign w:val="center"/>
          </w:tcPr>
          <w:p w14:paraId="466E24ED">
            <w:pPr>
              <w:spacing w:line="360" w:lineRule="exact"/>
              <w:jc w:val="center"/>
              <w:rPr>
                <w:rFonts w:ascii="Times New Roman" w:hAnsi="Times New Roman" w:cs="Times New Roman"/>
              </w:rPr>
            </w:pPr>
            <w:r>
              <w:rPr>
                <w:rFonts w:hint="eastAsia"/>
              </w:rPr>
              <w:t>重新谈判</w:t>
            </w:r>
          </w:p>
        </w:tc>
        <w:tc>
          <w:tcPr>
            <w:tcW w:w="7138" w:type="dxa"/>
            <w:vAlign w:val="center"/>
          </w:tcPr>
          <w:p w14:paraId="0A8B778F">
            <w:pPr>
              <w:spacing w:line="340" w:lineRule="exact"/>
              <w:rPr>
                <w:rFonts w:cs="仿宋"/>
              </w:rPr>
            </w:pPr>
            <w:r>
              <w:rPr>
                <w:rFonts w:hint="eastAsia" w:cs="仿宋"/>
              </w:rPr>
              <w:t>有下列情形之一的，采购人将重新谈判</w:t>
            </w:r>
          </w:p>
          <w:p w14:paraId="23766C29">
            <w:pPr>
              <w:spacing w:line="340" w:lineRule="exact"/>
              <w:rPr>
                <w:rFonts w:cs="仿宋"/>
              </w:rPr>
            </w:pPr>
            <w:r>
              <w:rPr>
                <w:rFonts w:hint="eastAsia" w:cs="仿宋"/>
              </w:rPr>
              <w:t>1.截至到</w:t>
            </w:r>
            <w:r>
              <w:rPr>
                <w:rFonts w:hint="eastAsia"/>
              </w:rPr>
              <w:t>谈判开始时间</w:t>
            </w:r>
            <w:r>
              <w:rPr>
                <w:rFonts w:hint="eastAsia" w:cs="仿宋"/>
              </w:rPr>
              <w:t>，提交响应文件的供应商少于3个的；</w:t>
            </w:r>
          </w:p>
          <w:p w14:paraId="1120381D">
            <w:pPr>
              <w:spacing w:line="340" w:lineRule="exact"/>
              <w:rPr>
                <w:rFonts w:cs="仿宋"/>
              </w:rPr>
            </w:pPr>
            <w:r>
              <w:rPr>
                <w:rFonts w:hint="eastAsia" w:cs="仿宋"/>
              </w:rPr>
              <w:t>2.经评审委员会评审，否决部分供应商响应文件后少于3个，缺乏竞争性的；</w:t>
            </w:r>
          </w:p>
          <w:p w14:paraId="1C15747F">
            <w:pPr>
              <w:spacing w:line="340" w:lineRule="exact"/>
              <w:rPr>
                <w:rFonts w:ascii="Times New Roman" w:hAnsi="Times New Roman" w:cs="Times New Roman"/>
              </w:rPr>
            </w:pPr>
            <w:r>
              <w:rPr>
                <w:rFonts w:hint="eastAsia" w:cs="仿宋"/>
              </w:rPr>
              <w:t>3.经评审委员会评审否决所有响应文件的。</w:t>
            </w:r>
          </w:p>
        </w:tc>
      </w:tr>
      <w:tr w14:paraId="25241F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2" w:hRule="atLeast"/>
          <w:jc w:val="center"/>
        </w:trPr>
        <w:tc>
          <w:tcPr>
            <w:tcW w:w="1086" w:type="dxa"/>
            <w:vAlign w:val="center"/>
          </w:tcPr>
          <w:p w14:paraId="1F364A2D">
            <w:pPr>
              <w:jc w:val="center"/>
              <w:rPr>
                <w:rFonts w:ascii="Times New Roman" w:hAnsi="Times New Roman" w:cs="Times New Roman"/>
              </w:rPr>
            </w:pPr>
            <w:r>
              <w:rPr>
                <w:rFonts w:hint="eastAsia" w:ascii="Times New Roman" w:hAnsi="Times New Roman" w:cs="Times New Roman"/>
              </w:rPr>
              <w:t>9</w:t>
            </w:r>
            <w:r>
              <w:rPr>
                <w:rFonts w:ascii="Times New Roman" w:hAnsi="Times New Roman" w:cs="Times New Roman"/>
              </w:rPr>
              <w:t>.1</w:t>
            </w:r>
          </w:p>
        </w:tc>
        <w:tc>
          <w:tcPr>
            <w:tcW w:w="8683" w:type="dxa"/>
            <w:gridSpan w:val="3"/>
            <w:vAlign w:val="center"/>
          </w:tcPr>
          <w:p w14:paraId="00C87459">
            <w:pPr>
              <w:spacing w:line="340" w:lineRule="exact"/>
              <w:rPr>
                <w:rFonts w:ascii="Times New Roman" w:hAnsi="Times New Roman" w:cs="Times New Roman"/>
                <w:bCs/>
              </w:rPr>
            </w:pPr>
            <w:r>
              <w:rPr>
                <w:rFonts w:hint="eastAsia"/>
                <w:bCs/>
              </w:rPr>
              <w:t>在任何评审环节中，需评审委员会就某项定性的评审结论做出表决的，由评审委员会全体成员按照少数服从多数的原则，以记名投票方式表决。</w:t>
            </w:r>
          </w:p>
        </w:tc>
      </w:tr>
      <w:tr w14:paraId="47E0FD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2" w:hRule="atLeast"/>
          <w:jc w:val="center"/>
        </w:trPr>
        <w:tc>
          <w:tcPr>
            <w:tcW w:w="1086" w:type="dxa"/>
            <w:vAlign w:val="center"/>
          </w:tcPr>
          <w:p w14:paraId="75CDA916">
            <w:pPr>
              <w:jc w:val="center"/>
              <w:rPr>
                <w:rFonts w:ascii="Times New Roman" w:hAnsi="Times New Roman" w:cs="Times New Roman"/>
              </w:rPr>
            </w:pPr>
            <w:r>
              <w:rPr>
                <w:rFonts w:hint="eastAsia" w:ascii="Times New Roman" w:hAnsi="Times New Roman" w:cs="Times New Roman"/>
              </w:rPr>
              <w:t>9</w:t>
            </w:r>
            <w:r>
              <w:rPr>
                <w:rFonts w:ascii="Times New Roman" w:hAnsi="Times New Roman" w:cs="Times New Roman"/>
              </w:rPr>
              <w:t>.2</w:t>
            </w:r>
          </w:p>
        </w:tc>
        <w:tc>
          <w:tcPr>
            <w:tcW w:w="8683" w:type="dxa"/>
            <w:gridSpan w:val="3"/>
            <w:vAlign w:val="center"/>
          </w:tcPr>
          <w:p w14:paraId="6DDCBA39">
            <w:pPr>
              <w:spacing w:line="340" w:lineRule="exact"/>
              <w:rPr>
                <w:rFonts w:ascii="Times New Roman" w:hAnsi="Times New Roman" w:cs="Times New Roman"/>
              </w:rPr>
            </w:pPr>
            <w:r>
              <w:rPr>
                <w:rFonts w:hint="eastAsia"/>
              </w:rPr>
              <w:t>投标单位认为谈判文件中有限制、排斥投标单位情形的，应当在谈判开始时间2日前向</w:t>
            </w:r>
            <w:r>
              <w:rPr>
                <w:rFonts w:hint="eastAsia"/>
                <w:lang w:eastAsia="zh-CN"/>
              </w:rPr>
              <w:t>谈判</w:t>
            </w:r>
            <w:r>
              <w:rPr>
                <w:rFonts w:hint="eastAsia"/>
              </w:rPr>
              <w:t>人书面提出，未在规定时间内提出异议的，视为对谈判文件无异议。</w:t>
            </w:r>
          </w:p>
        </w:tc>
      </w:tr>
      <w:bookmarkEnd w:id="6"/>
    </w:tbl>
    <w:p w14:paraId="1D61DEF8">
      <w:pPr>
        <w:jc w:val="center"/>
        <w:outlineLvl w:val="1"/>
        <w:rPr>
          <w:rStyle w:val="133"/>
          <w:b w:val="0"/>
          <w:bCs w:val="0"/>
        </w:rPr>
      </w:pPr>
      <w:r>
        <w:rPr>
          <w:sz w:val="36"/>
          <w:szCs w:val="36"/>
        </w:rPr>
        <w:br w:type="page"/>
      </w:r>
      <w:bookmarkStart w:id="7" w:name="_Toc8764"/>
      <w:bookmarkStart w:id="8" w:name="_Toc218261873"/>
      <w:bookmarkStart w:id="9" w:name="_Toc4793"/>
      <w:r>
        <w:rPr>
          <w:rFonts w:hint="eastAsia"/>
          <w:b/>
          <w:bCs/>
          <w:sz w:val="32"/>
          <w:szCs w:val="32"/>
        </w:rPr>
        <w:t>谈判须知正文部分</w:t>
      </w:r>
      <w:bookmarkEnd w:id="7"/>
      <w:bookmarkEnd w:id="8"/>
      <w:bookmarkEnd w:id="9"/>
    </w:p>
    <w:p w14:paraId="4EB396D3">
      <w:pPr>
        <w:pStyle w:val="124"/>
        <w:spacing w:after="0"/>
        <w:ind w:left="0" w:firstLine="0"/>
        <w:outlineLvl w:val="2"/>
        <w:rPr>
          <w:rStyle w:val="133"/>
          <w:b w:val="0"/>
          <w:bCs w:val="0"/>
        </w:rPr>
      </w:pPr>
      <w:bookmarkStart w:id="10" w:name="_Toc506105818"/>
      <w:bookmarkStart w:id="11" w:name="_Toc507936013"/>
      <w:bookmarkStart w:id="12" w:name="_Toc218261874"/>
      <w:r>
        <w:rPr>
          <w:rStyle w:val="133"/>
          <w:b w:val="0"/>
          <w:bCs w:val="0"/>
        </w:rPr>
        <w:t>1.</w:t>
      </w:r>
      <w:r>
        <w:rPr>
          <w:rStyle w:val="133"/>
          <w:rFonts w:hint="eastAsia"/>
          <w:b w:val="0"/>
          <w:bCs w:val="0"/>
        </w:rPr>
        <w:t>总则</w:t>
      </w:r>
      <w:bookmarkEnd w:id="10"/>
      <w:bookmarkEnd w:id="11"/>
      <w:bookmarkEnd w:id="12"/>
    </w:p>
    <w:p w14:paraId="5AAE0879">
      <w:pPr>
        <w:pStyle w:val="126"/>
        <w:spacing w:after="0"/>
        <w:ind w:left="0" w:firstLine="482" w:firstLineChars="200"/>
        <w:outlineLvl w:val="9"/>
        <w:rPr>
          <w:rFonts w:asciiTheme="minorEastAsia" w:hAnsiTheme="minorEastAsia" w:eastAsiaTheme="minorEastAsia"/>
        </w:rPr>
      </w:pPr>
      <w:bookmarkStart w:id="13" w:name="_Toc506105819"/>
      <w:bookmarkStart w:id="14" w:name="_Toc218261875"/>
      <w:bookmarkStart w:id="15" w:name="_Toc507936014"/>
      <w:r>
        <w:rPr>
          <w:rFonts w:hint="eastAsia" w:asciiTheme="minorEastAsia" w:hAnsiTheme="minorEastAsia" w:eastAsiaTheme="minorEastAsia"/>
        </w:rPr>
        <w:t>1.1 项目概况</w:t>
      </w:r>
      <w:bookmarkEnd w:id="13"/>
      <w:bookmarkEnd w:id="14"/>
      <w:bookmarkEnd w:id="15"/>
    </w:p>
    <w:p w14:paraId="6187F268">
      <w:pPr>
        <w:pStyle w:val="118"/>
        <w:keepNext w:val="0"/>
        <w:keepLines w:val="0"/>
        <w:spacing w:before="0" w:line="360" w:lineRule="auto"/>
        <w:ind w:firstLine="480" w:firstLineChars="200"/>
        <w:outlineLvl w:val="9"/>
        <w:rPr>
          <w:rFonts w:asciiTheme="minorEastAsia" w:hAnsiTheme="minorEastAsia" w:eastAsiaTheme="minorEastAsia"/>
          <w:szCs w:val="28"/>
        </w:rPr>
      </w:pPr>
      <w:bookmarkStart w:id="16" w:name="_Toc218261876"/>
      <w:r>
        <w:rPr>
          <w:rFonts w:hint="eastAsia" w:cs="仿宋" w:asciiTheme="minorEastAsia" w:hAnsiTheme="minorEastAsia" w:eastAsiaTheme="minorEastAsia"/>
          <w:sz w:val="24"/>
        </w:rPr>
        <w:t xml:space="preserve">1.1.1 </w:t>
      </w:r>
      <w:r>
        <w:rPr>
          <w:rFonts w:hint="eastAsia" w:cs="仿宋" w:asciiTheme="minorEastAsia" w:hAnsiTheme="minorEastAsia" w:eastAsiaTheme="minorEastAsia"/>
          <w:kern w:val="2"/>
          <w:sz w:val="24"/>
          <w:szCs w:val="24"/>
        </w:rPr>
        <w:t>采购人：</w:t>
      </w:r>
      <w:r>
        <w:rPr>
          <w:rFonts w:hint="eastAsia" w:cs="仿宋" w:asciiTheme="minorEastAsia" w:hAnsiTheme="minorEastAsia" w:eastAsiaTheme="minorEastAsia"/>
          <w:sz w:val="24"/>
          <w:szCs w:val="24"/>
        </w:rPr>
        <w:t>详见谈判</w:t>
      </w:r>
      <w:r>
        <w:rPr>
          <w:rFonts w:hint="eastAsia" w:cs="仿宋" w:asciiTheme="minorEastAsia" w:hAnsiTheme="minorEastAsia" w:eastAsiaTheme="minorEastAsia"/>
          <w:kern w:val="2"/>
          <w:sz w:val="24"/>
          <w:szCs w:val="24"/>
        </w:rPr>
        <w:t>须知前附表</w:t>
      </w:r>
      <w:bookmarkEnd w:id="16"/>
    </w:p>
    <w:p w14:paraId="376B6190">
      <w:pPr>
        <w:spacing w:line="360" w:lineRule="auto"/>
        <w:ind w:firstLine="480" w:firstLineChars="200"/>
        <w:jc w:val="both"/>
        <w:rPr>
          <w:rFonts w:cs="仿宋" w:asciiTheme="minorEastAsia" w:hAnsiTheme="minorEastAsia" w:eastAsiaTheme="minorEastAsia"/>
        </w:rPr>
      </w:pPr>
      <w:r>
        <w:rPr>
          <w:rFonts w:hint="eastAsia" w:cs="仿宋" w:asciiTheme="minorEastAsia" w:hAnsiTheme="minorEastAsia" w:eastAsiaTheme="minorEastAsia"/>
        </w:rPr>
        <w:t>1.1.2 采购项目名称：详见谈判须知前附表</w:t>
      </w:r>
    </w:p>
    <w:p w14:paraId="2D8AACBA">
      <w:pPr>
        <w:spacing w:line="360" w:lineRule="auto"/>
        <w:ind w:firstLine="480" w:firstLineChars="200"/>
        <w:jc w:val="both"/>
        <w:rPr>
          <w:rFonts w:cs="仿宋" w:asciiTheme="minorEastAsia" w:hAnsiTheme="minorEastAsia" w:eastAsiaTheme="minorEastAsia"/>
        </w:rPr>
      </w:pPr>
      <w:r>
        <w:rPr>
          <w:rFonts w:hint="eastAsia" w:cs="仿宋" w:asciiTheme="minorEastAsia" w:hAnsiTheme="minorEastAsia" w:eastAsiaTheme="minorEastAsia"/>
        </w:rPr>
        <w:t>1.1.3项目概况: 详见谈判须知前附表</w:t>
      </w:r>
    </w:p>
    <w:p w14:paraId="3C112620">
      <w:pPr>
        <w:spacing w:line="360" w:lineRule="auto"/>
        <w:ind w:firstLine="480" w:firstLineChars="200"/>
        <w:jc w:val="both"/>
        <w:rPr>
          <w:rFonts w:cs="仿宋" w:asciiTheme="minorEastAsia" w:hAnsiTheme="minorEastAsia" w:eastAsiaTheme="minorEastAsia"/>
        </w:rPr>
      </w:pPr>
      <w:r>
        <w:rPr>
          <w:rFonts w:hint="eastAsia" w:cs="仿宋" w:asciiTheme="minorEastAsia" w:hAnsiTheme="minorEastAsia" w:eastAsiaTheme="minorEastAsia"/>
        </w:rPr>
        <w:t>1.1.4 项目地点：详见谈判须知前附表</w:t>
      </w:r>
    </w:p>
    <w:p w14:paraId="78F06932">
      <w:pPr>
        <w:pStyle w:val="126"/>
        <w:spacing w:after="0"/>
        <w:ind w:left="0" w:firstLine="482" w:firstLineChars="200"/>
        <w:outlineLvl w:val="9"/>
        <w:rPr>
          <w:rFonts w:cs="Times New Roman" w:asciiTheme="minorEastAsia" w:hAnsiTheme="minorEastAsia" w:eastAsiaTheme="minorEastAsia"/>
        </w:rPr>
      </w:pPr>
      <w:bookmarkStart w:id="17" w:name="_Toc247513954"/>
      <w:bookmarkStart w:id="18" w:name="_Toc25497"/>
      <w:bookmarkStart w:id="19" w:name="_Toc247527555"/>
      <w:bookmarkStart w:id="20" w:name="_Toc328559028"/>
      <w:bookmarkStart w:id="21" w:name="_Toc27657"/>
      <w:bookmarkStart w:id="22" w:name="_Toc506105820"/>
      <w:bookmarkStart w:id="23" w:name="_Toc300834951"/>
      <w:bookmarkStart w:id="24" w:name="_Toc218261877"/>
      <w:bookmarkStart w:id="25" w:name="_Toc507936015"/>
      <w:r>
        <w:rPr>
          <w:rFonts w:hint="eastAsia" w:asciiTheme="minorEastAsia" w:hAnsiTheme="minorEastAsia" w:eastAsiaTheme="minorEastAsia"/>
        </w:rPr>
        <w:t>1.2 项目资金来源</w:t>
      </w:r>
      <w:bookmarkEnd w:id="17"/>
      <w:bookmarkEnd w:id="18"/>
      <w:bookmarkEnd w:id="19"/>
      <w:bookmarkEnd w:id="20"/>
      <w:bookmarkEnd w:id="21"/>
      <w:bookmarkEnd w:id="22"/>
      <w:bookmarkEnd w:id="23"/>
      <w:r>
        <w:rPr>
          <w:rFonts w:hint="eastAsia" w:asciiTheme="minorEastAsia" w:hAnsiTheme="minorEastAsia" w:eastAsiaTheme="minorEastAsia"/>
        </w:rPr>
        <w:t>、采购人式、采购控价</w:t>
      </w:r>
      <w:bookmarkEnd w:id="24"/>
      <w:bookmarkEnd w:id="25"/>
    </w:p>
    <w:p w14:paraId="3A009F9F">
      <w:pPr>
        <w:spacing w:line="360" w:lineRule="auto"/>
        <w:ind w:firstLine="480" w:firstLineChars="200"/>
        <w:jc w:val="both"/>
        <w:rPr>
          <w:rFonts w:cs="仿宋" w:asciiTheme="minorEastAsia" w:hAnsiTheme="minorEastAsia" w:eastAsiaTheme="minorEastAsia"/>
        </w:rPr>
      </w:pPr>
      <w:r>
        <w:rPr>
          <w:rFonts w:hint="eastAsia" w:cs="仿宋" w:asciiTheme="minorEastAsia" w:hAnsiTheme="minorEastAsia" w:eastAsiaTheme="minorEastAsia"/>
        </w:rPr>
        <w:t>1.2.1 项目资金来源：</w:t>
      </w:r>
      <w:bookmarkStart w:id="26" w:name="_Toc328559029"/>
      <w:bookmarkStart w:id="27" w:name="_Toc247513955"/>
      <w:bookmarkStart w:id="28" w:name="_Toc247527556"/>
      <w:bookmarkStart w:id="29" w:name="_Toc30612"/>
      <w:bookmarkStart w:id="30" w:name="_Toc16572"/>
      <w:bookmarkStart w:id="31" w:name="_Toc300834952"/>
      <w:r>
        <w:rPr>
          <w:rFonts w:hint="eastAsia" w:cs="仿宋" w:asciiTheme="minorEastAsia" w:hAnsiTheme="minorEastAsia" w:eastAsiaTheme="minorEastAsia"/>
        </w:rPr>
        <w:t>详见谈判须知前附表</w:t>
      </w:r>
    </w:p>
    <w:p w14:paraId="44F8655D">
      <w:pPr>
        <w:spacing w:line="360" w:lineRule="auto"/>
        <w:ind w:firstLine="480" w:firstLineChars="200"/>
        <w:jc w:val="both"/>
        <w:rPr>
          <w:rFonts w:cs="仿宋" w:asciiTheme="minorEastAsia" w:hAnsiTheme="minorEastAsia" w:eastAsiaTheme="minorEastAsia"/>
        </w:rPr>
      </w:pPr>
      <w:r>
        <w:rPr>
          <w:rFonts w:hint="eastAsia" w:cs="仿宋" w:asciiTheme="minorEastAsia" w:hAnsiTheme="minorEastAsia" w:eastAsiaTheme="minorEastAsia"/>
        </w:rPr>
        <w:t>1.2.2采购人式：详见谈判须知前附表</w:t>
      </w:r>
    </w:p>
    <w:p w14:paraId="08556905">
      <w:pPr>
        <w:pStyle w:val="22"/>
        <w:spacing w:after="0" w:line="360" w:lineRule="auto"/>
        <w:ind w:left="0" w:leftChars="0" w:firstLine="480"/>
        <w:jc w:val="both"/>
        <w:rPr>
          <w:rFonts w:cs="宋体" w:asciiTheme="minorEastAsia" w:hAnsiTheme="minorEastAsia" w:eastAsiaTheme="minorEastAsia"/>
        </w:rPr>
      </w:pPr>
      <w:r>
        <w:rPr>
          <w:rFonts w:hint="eastAsia" w:cs="仿宋" w:asciiTheme="minorEastAsia" w:hAnsiTheme="minorEastAsia" w:eastAsiaTheme="minorEastAsia"/>
        </w:rPr>
        <w:t>1.2.3</w:t>
      </w:r>
      <w:r>
        <w:rPr>
          <w:rFonts w:hint="eastAsia" w:asciiTheme="minorEastAsia" w:hAnsiTheme="minorEastAsia" w:eastAsiaTheme="minorEastAsia"/>
        </w:rPr>
        <w:t>采购控价：</w:t>
      </w:r>
      <w:r>
        <w:rPr>
          <w:rFonts w:hint="eastAsia" w:cs="仿宋" w:asciiTheme="minorEastAsia" w:hAnsiTheme="minorEastAsia" w:eastAsiaTheme="minorEastAsia"/>
        </w:rPr>
        <w:t>详见谈判须知前附表</w:t>
      </w:r>
    </w:p>
    <w:p w14:paraId="4FAA9C30">
      <w:pPr>
        <w:pStyle w:val="126"/>
        <w:spacing w:after="0"/>
        <w:ind w:left="0" w:firstLine="482" w:firstLineChars="200"/>
        <w:outlineLvl w:val="9"/>
        <w:rPr>
          <w:rFonts w:asciiTheme="minorEastAsia" w:hAnsiTheme="minorEastAsia" w:eastAsiaTheme="minorEastAsia"/>
        </w:rPr>
      </w:pPr>
      <w:bookmarkStart w:id="32" w:name="_Toc506105821"/>
      <w:bookmarkStart w:id="33" w:name="_Toc507936016"/>
      <w:bookmarkStart w:id="34" w:name="_Toc218261878"/>
      <w:r>
        <w:rPr>
          <w:rFonts w:hint="eastAsia" w:asciiTheme="minorEastAsia" w:hAnsiTheme="minorEastAsia" w:eastAsiaTheme="minorEastAsia"/>
        </w:rPr>
        <w:t>1.3 采购范围、供货周期、</w:t>
      </w:r>
      <w:bookmarkEnd w:id="26"/>
      <w:bookmarkEnd w:id="27"/>
      <w:bookmarkEnd w:id="28"/>
      <w:bookmarkEnd w:id="29"/>
      <w:bookmarkEnd w:id="30"/>
      <w:bookmarkEnd w:id="31"/>
      <w:bookmarkEnd w:id="32"/>
      <w:r>
        <w:rPr>
          <w:rFonts w:hint="eastAsia" w:asciiTheme="minorEastAsia" w:hAnsiTheme="minorEastAsia" w:eastAsiaTheme="minorEastAsia"/>
        </w:rPr>
        <w:t>交货地点和质保期</w:t>
      </w:r>
      <w:bookmarkEnd w:id="33"/>
      <w:bookmarkEnd w:id="34"/>
    </w:p>
    <w:p w14:paraId="5F36C031">
      <w:pPr>
        <w:tabs>
          <w:tab w:val="left" w:pos="220"/>
        </w:tabs>
        <w:snapToGrid w:val="0"/>
        <w:spacing w:line="360" w:lineRule="auto"/>
        <w:ind w:firstLine="480" w:firstLineChars="200"/>
        <w:jc w:val="both"/>
        <w:rPr>
          <w:rFonts w:cs="仿宋" w:asciiTheme="minorEastAsia" w:hAnsiTheme="minorEastAsia" w:eastAsiaTheme="minorEastAsia"/>
        </w:rPr>
      </w:pPr>
      <w:r>
        <w:rPr>
          <w:rFonts w:hint="eastAsia" w:cs="仿宋" w:asciiTheme="minorEastAsia" w:hAnsiTheme="minorEastAsia" w:eastAsiaTheme="minorEastAsia"/>
        </w:rPr>
        <w:t xml:space="preserve">1.3.1 </w:t>
      </w:r>
      <w:r>
        <w:rPr>
          <w:rFonts w:hint="eastAsia" w:cs="仿宋" w:asciiTheme="minorEastAsia" w:hAnsiTheme="minorEastAsia" w:eastAsiaTheme="minorEastAsia"/>
          <w:lang w:eastAsia="zh-CN"/>
        </w:rPr>
        <w:t>谈判</w:t>
      </w:r>
      <w:r>
        <w:rPr>
          <w:rFonts w:hint="eastAsia" w:cs="仿宋" w:asciiTheme="minorEastAsia" w:hAnsiTheme="minorEastAsia" w:eastAsiaTheme="minorEastAsia"/>
        </w:rPr>
        <w:t>范围：详见谈判须知前附表</w:t>
      </w:r>
    </w:p>
    <w:p w14:paraId="52780113">
      <w:pPr>
        <w:spacing w:line="360" w:lineRule="auto"/>
        <w:ind w:firstLine="480" w:firstLineChars="200"/>
        <w:jc w:val="both"/>
        <w:rPr>
          <w:rFonts w:cs="仿宋" w:asciiTheme="minorEastAsia" w:hAnsiTheme="minorEastAsia" w:eastAsiaTheme="minorEastAsia"/>
        </w:rPr>
      </w:pPr>
      <w:r>
        <w:rPr>
          <w:rFonts w:hint="eastAsia" w:cs="仿宋" w:asciiTheme="minorEastAsia" w:hAnsiTheme="minorEastAsia" w:eastAsiaTheme="minorEastAsia"/>
        </w:rPr>
        <w:t>1.3.2 服务周期：详见谈判须知前附表</w:t>
      </w:r>
    </w:p>
    <w:p w14:paraId="60CE179B">
      <w:pPr>
        <w:spacing w:line="360" w:lineRule="auto"/>
        <w:ind w:firstLine="480" w:firstLineChars="200"/>
        <w:jc w:val="both"/>
        <w:rPr>
          <w:rFonts w:cs="仿宋" w:asciiTheme="minorEastAsia" w:hAnsiTheme="minorEastAsia" w:eastAsiaTheme="minorEastAsia"/>
        </w:rPr>
      </w:pPr>
      <w:r>
        <w:rPr>
          <w:rFonts w:hint="eastAsia" w:cs="仿宋" w:asciiTheme="minorEastAsia" w:hAnsiTheme="minorEastAsia" w:eastAsiaTheme="minorEastAsia"/>
        </w:rPr>
        <w:t>1.3.3 服务地点：详见谈判须知前附表</w:t>
      </w:r>
    </w:p>
    <w:p w14:paraId="5D6C901D">
      <w:pPr>
        <w:spacing w:line="360" w:lineRule="auto"/>
        <w:ind w:firstLine="480" w:firstLineChars="200"/>
        <w:jc w:val="both"/>
        <w:rPr>
          <w:rFonts w:cs="仿宋" w:asciiTheme="minorEastAsia" w:hAnsiTheme="minorEastAsia" w:eastAsiaTheme="minorEastAsia"/>
        </w:rPr>
      </w:pPr>
      <w:r>
        <w:rPr>
          <w:rFonts w:hint="eastAsia" w:cs="仿宋" w:asciiTheme="minorEastAsia" w:hAnsiTheme="minorEastAsia" w:eastAsiaTheme="minorEastAsia"/>
        </w:rPr>
        <w:t>1.3.4质保期：详见谈判须知前附表</w:t>
      </w:r>
    </w:p>
    <w:p w14:paraId="28E19D93">
      <w:pPr>
        <w:pStyle w:val="126"/>
        <w:spacing w:after="0"/>
        <w:ind w:left="0" w:firstLine="482" w:firstLineChars="200"/>
        <w:outlineLvl w:val="9"/>
        <w:rPr>
          <w:rFonts w:cs="Times New Roman" w:asciiTheme="minorEastAsia" w:hAnsiTheme="minorEastAsia" w:eastAsiaTheme="minorEastAsia"/>
        </w:rPr>
      </w:pPr>
      <w:bookmarkStart w:id="35" w:name="_Toc507936017"/>
      <w:bookmarkStart w:id="36" w:name="_Toc506105822"/>
      <w:bookmarkStart w:id="37" w:name="_Toc218261879"/>
      <w:r>
        <w:rPr>
          <w:rFonts w:hint="eastAsia" w:asciiTheme="minorEastAsia" w:hAnsiTheme="minorEastAsia" w:eastAsiaTheme="minorEastAsia"/>
        </w:rPr>
        <w:t>1.4 投标人资格要求</w:t>
      </w:r>
      <w:bookmarkEnd w:id="35"/>
      <w:bookmarkEnd w:id="36"/>
      <w:bookmarkEnd w:id="37"/>
    </w:p>
    <w:p w14:paraId="7266DF99">
      <w:pPr>
        <w:spacing w:line="360" w:lineRule="auto"/>
        <w:ind w:firstLine="480" w:firstLineChars="200"/>
        <w:jc w:val="both"/>
        <w:rPr>
          <w:rFonts w:cs="仿宋" w:asciiTheme="minorEastAsia" w:hAnsiTheme="minorEastAsia" w:eastAsiaTheme="minorEastAsia"/>
        </w:rPr>
      </w:pPr>
      <w:r>
        <w:rPr>
          <w:rFonts w:hint="eastAsia" w:cs="仿宋" w:asciiTheme="minorEastAsia" w:hAnsiTheme="minorEastAsia" w:eastAsiaTheme="minorEastAsia"/>
        </w:rPr>
        <w:t xml:space="preserve">1.4.1 </w:t>
      </w:r>
      <w:r>
        <w:rPr>
          <w:rFonts w:hint="eastAsia" w:asciiTheme="minorEastAsia" w:hAnsiTheme="minorEastAsia" w:eastAsiaTheme="minorEastAsia"/>
        </w:rPr>
        <w:t>投标人</w:t>
      </w:r>
      <w:r>
        <w:rPr>
          <w:rFonts w:hint="eastAsia" w:cs="仿宋" w:asciiTheme="minorEastAsia" w:hAnsiTheme="minorEastAsia" w:eastAsiaTheme="minorEastAsia"/>
        </w:rPr>
        <w:t>资格要求：详见谈判须知前附表</w:t>
      </w:r>
    </w:p>
    <w:p w14:paraId="6F9CF08F">
      <w:pPr>
        <w:spacing w:line="360" w:lineRule="auto"/>
        <w:ind w:firstLine="480" w:firstLineChars="200"/>
        <w:jc w:val="both"/>
        <w:rPr>
          <w:rFonts w:cs="仿宋" w:asciiTheme="minorEastAsia" w:hAnsiTheme="minorEastAsia" w:eastAsiaTheme="minorEastAsia"/>
        </w:rPr>
      </w:pPr>
      <w:r>
        <w:rPr>
          <w:rFonts w:hint="eastAsia" w:cs="仿宋" w:asciiTheme="minorEastAsia" w:hAnsiTheme="minorEastAsia" w:eastAsiaTheme="minorEastAsia"/>
        </w:rPr>
        <w:t>1.4.2 本次采购不接受联合体。</w:t>
      </w:r>
    </w:p>
    <w:p w14:paraId="72C58114">
      <w:pPr>
        <w:spacing w:line="360" w:lineRule="auto"/>
        <w:ind w:firstLine="480" w:firstLineChars="200"/>
        <w:jc w:val="both"/>
        <w:rPr>
          <w:rFonts w:cs="宋体" w:asciiTheme="minorEastAsia" w:hAnsiTheme="minorEastAsia" w:eastAsiaTheme="minorEastAsia"/>
        </w:rPr>
      </w:pPr>
      <w:bookmarkStart w:id="38" w:name="_Toc506105823"/>
      <w:bookmarkStart w:id="39" w:name="_Toc507936018"/>
      <w:r>
        <w:rPr>
          <w:rFonts w:hint="eastAsia" w:asciiTheme="minorEastAsia" w:hAnsiTheme="minorEastAsia" w:eastAsiaTheme="minorEastAsia"/>
        </w:rPr>
        <w:t>1.4.3投标人不得存在下列情形之一：</w:t>
      </w:r>
    </w:p>
    <w:p w14:paraId="1DF5C218">
      <w:pPr>
        <w:spacing w:line="360" w:lineRule="auto"/>
        <w:ind w:firstLine="480" w:firstLineChars="200"/>
        <w:jc w:val="both"/>
        <w:rPr>
          <w:rFonts w:asciiTheme="minorEastAsia" w:hAnsiTheme="minorEastAsia" w:eastAsiaTheme="minorEastAsia"/>
        </w:rPr>
      </w:pPr>
      <w:r>
        <w:rPr>
          <w:rFonts w:hint="eastAsia" w:asciiTheme="minorEastAsia" w:hAnsiTheme="minorEastAsia" w:eastAsiaTheme="minorEastAsia"/>
        </w:rPr>
        <w:t>（1）与采购人存在利害关系且可能影响采购公正性；</w:t>
      </w:r>
    </w:p>
    <w:p w14:paraId="7823E6DC">
      <w:pPr>
        <w:spacing w:line="360" w:lineRule="auto"/>
        <w:ind w:firstLine="480" w:firstLineChars="200"/>
        <w:jc w:val="both"/>
        <w:rPr>
          <w:rFonts w:asciiTheme="minorEastAsia" w:hAnsiTheme="minorEastAsia" w:eastAsiaTheme="minorEastAsia"/>
        </w:rPr>
      </w:pPr>
      <w:r>
        <w:rPr>
          <w:rFonts w:hint="eastAsia" w:asciiTheme="minorEastAsia" w:hAnsiTheme="minorEastAsia" w:eastAsiaTheme="minorEastAsia"/>
        </w:rPr>
        <w:t>（2）与本采购项目的其他投标人为同一个单位负责人；</w:t>
      </w:r>
    </w:p>
    <w:p w14:paraId="145C8574">
      <w:pPr>
        <w:spacing w:line="360" w:lineRule="auto"/>
        <w:ind w:firstLine="480" w:firstLineChars="200"/>
        <w:jc w:val="both"/>
        <w:rPr>
          <w:rFonts w:asciiTheme="minorEastAsia" w:hAnsiTheme="minorEastAsia" w:eastAsiaTheme="minorEastAsia"/>
        </w:rPr>
      </w:pPr>
      <w:r>
        <w:rPr>
          <w:rFonts w:hint="eastAsia" w:asciiTheme="minorEastAsia" w:hAnsiTheme="minorEastAsia" w:eastAsiaTheme="minorEastAsia"/>
        </w:rPr>
        <w:t>（3）与本采购项目的其他投标人存在控股、管理关系；</w:t>
      </w:r>
    </w:p>
    <w:p w14:paraId="3C786C9C">
      <w:pPr>
        <w:spacing w:line="360" w:lineRule="auto"/>
        <w:ind w:firstLine="480" w:firstLineChars="200"/>
        <w:jc w:val="both"/>
        <w:rPr>
          <w:rFonts w:asciiTheme="minorEastAsia" w:hAnsiTheme="minorEastAsia" w:eastAsiaTheme="minorEastAsia"/>
        </w:rPr>
      </w:pPr>
      <w:r>
        <w:rPr>
          <w:rFonts w:hint="eastAsia" w:asciiTheme="minorEastAsia" w:hAnsiTheme="minorEastAsia" w:eastAsiaTheme="minorEastAsia"/>
        </w:rPr>
        <w:t>（4）被依法暂停或者取消资格；</w:t>
      </w:r>
    </w:p>
    <w:p w14:paraId="72EB82B9">
      <w:pPr>
        <w:spacing w:line="360" w:lineRule="auto"/>
        <w:ind w:firstLine="480" w:firstLineChars="200"/>
        <w:jc w:val="both"/>
        <w:rPr>
          <w:rFonts w:asciiTheme="minorEastAsia" w:hAnsiTheme="minorEastAsia" w:eastAsiaTheme="minorEastAsia"/>
        </w:rPr>
      </w:pPr>
      <w:r>
        <w:rPr>
          <w:rFonts w:hint="eastAsia" w:asciiTheme="minorEastAsia" w:hAnsiTheme="minorEastAsia" w:eastAsiaTheme="minorEastAsia"/>
        </w:rPr>
        <w:t>（5）被责令停产停业、暂扣或者吊销许可证、暂扣或者吊销执照；</w:t>
      </w:r>
    </w:p>
    <w:p w14:paraId="5002DC2E">
      <w:pPr>
        <w:spacing w:line="360" w:lineRule="auto"/>
        <w:ind w:firstLine="480" w:firstLineChars="200"/>
        <w:jc w:val="both"/>
        <w:rPr>
          <w:rFonts w:asciiTheme="minorEastAsia" w:hAnsiTheme="minorEastAsia" w:eastAsiaTheme="minorEastAsia"/>
        </w:rPr>
      </w:pPr>
      <w:r>
        <w:rPr>
          <w:rFonts w:hint="eastAsia" w:asciiTheme="minorEastAsia" w:hAnsiTheme="minorEastAsia" w:eastAsiaTheme="minorEastAsia"/>
        </w:rPr>
        <w:t>（6）进入清算程序，或被宣告破产，或其他丧失履约能力的情形；</w:t>
      </w:r>
    </w:p>
    <w:p w14:paraId="18C5BCFC">
      <w:pPr>
        <w:spacing w:line="360" w:lineRule="auto"/>
        <w:ind w:firstLine="480" w:firstLineChars="200"/>
        <w:jc w:val="both"/>
        <w:rPr>
          <w:rFonts w:asciiTheme="minorEastAsia" w:hAnsiTheme="minorEastAsia" w:eastAsiaTheme="minorEastAsia"/>
        </w:rPr>
      </w:pPr>
      <w:r>
        <w:rPr>
          <w:rFonts w:hint="eastAsia" w:asciiTheme="minorEastAsia" w:hAnsiTheme="minorEastAsia" w:eastAsiaTheme="minorEastAsia"/>
        </w:rPr>
        <w:t>（7）在最近三年内发生重大质量、安全问题（以相关行业主管部门的行政处罚决定或司法机关出具的有关法律文书为准）；</w:t>
      </w:r>
    </w:p>
    <w:p w14:paraId="74EFD514">
      <w:pPr>
        <w:spacing w:line="360" w:lineRule="auto"/>
        <w:ind w:firstLine="480" w:firstLineChars="200"/>
        <w:jc w:val="both"/>
        <w:rPr>
          <w:rFonts w:asciiTheme="minorEastAsia" w:hAnsiTheme="minorEastAsia" w:eastAsiaTheme="minorEastAsia"/>
        </w:rPr>
      </w:pPr>
      <w:r>
        <w:rPr>
          <w:rFonts w:hint="eastAsia" w:asciiTheme="minorEastAsia" w:hAnsiTheme="minorEastAsia" w:eastAsiaTheme="minorEastAsia"/>
        </w:rPr>
        <w:t>（8）被工商行政管理机关在全国企业信用信息公示系统中列入严重违法失信企业名单；</w:t>
      </w:r>
    </w:p>
    <w:p w14:paraId="2FCE4FAF">
      <w:pPr>
        <w:spacing w:line="360" w:lineRule="auto"/>
        <w:ind w:firstLine="480" w:firstLineChars="200"/>
        <w:jc w:val="both"/>
        <w:rPr>
          <w:rFonts w:asciiTheme="minorEastAsia" w:hAnsiTheme="minorEastAsia" w:eastAsiaTheme="minorEastAsia"/>
        </w:rPr>
      </w:pPr>
      <w:r>
        <w:rPr>
          <w:rFonts w:hint="eastAsia" w:asciiTheme="minorEastAsia" w:hAnsiTheme="minorEastAsia" w:eastAsiaTheme="minorEastAsia"/>
        </w:rPr>
        <w:t>（9）被最高人民法院在“信用中国”网站（www.creditchina.gov.cn)或各级信用信息共享平台中列入失信被执行人名单；</w:t>
      </w:r>
    </w:p>
    <w:p w14:paraId="18D3CA50">
      <w:pPr>
        <w:spacing w:line="360" w:lineRule="auto"/>
        <w:ind w:firstLine="480" w:firstLineChars="200"/>
        <w:jc w:val="both"/>
        <w:rPr>
          <w:rFonts w:asciiTheme="minorEastAsia" w:hAnsiTheme="minorEastAsia" w:eastAsiaTheme="minorEastAsia"/>
        </w:rPr>
      </w:pPr>
      <w:r>
        <w:rPr>
          <w:rFonts w:hint="eastAsia" w:asciiTheme="minorEastAsia" w:hAnsiTheme="minorEastAsia" w:eastAsiaTheme="minorEastAsia"/>
        </w:rPr>
        <w:t>（10）在近三年内投标人或其法定代表人有行贿犯罪行为的（以检察机关职务犯罪预防部门出具的查询结果为准）；</w:t>
      </w:r>
    </w:p>
    <w:p w14:paraId="10051B75">
      <w:pPr>
        <w:spacing w:line="360" w:lineRule="auto"/>
        <w:ind w:firstLine="480" w:firstLineChars="200"/>
        <w:jc w:val="both"/>
        <w:rPr>
          <w:rFonts w:asciiTheme="minorEastAsia" w:hAnsiTheme="minorEastAsia" w:eastAsiaTheme="minorEastAsia"/>
        </w:rPr>
      </w:pPr>
      <w:r>
        <w:rPr>
          <w:rFonts w:hint="eastAsia" w:asciiTheme="minorEastAsia" w:hAnsiTheme="minorEastAsia" w:eastAsiaTheme="minorEastAsia"/>
        </w:rPr>
        <w:t>（11）法律法规或投标人须知前附表规定的其他情形。</w:t>
      </w:r>
    </w:p>
    <w:p w14:paraId="2EFB1A6B">
      <w:pPr>
        <w:pStyle w:val="126"/>
        <w:spacing w:after="0"/>
        <w:ind w:left="0" w:firstLine="482" w:firstLineChars="200"/>
        <w:outlineLvl w:val="9"/>
        <w:rPr>
          <w:rFonts w:asciiTheme="minorEastAsia" w:hAnsiTheme="minorEastAsia" w:eastAsiaTheme="minorEastAsia"/>
        </w:rPr>
      </w:pPr>
      <w:bookmarkStart w:id="40" w:name="_Toc218261880"/>
      <w:r>
        <w:rPr>
          <w:rFonts w:hint="eastAsia" w:asciiTheme="minorEastAsia" w:hAnsiTheme="minorEastAsia" w:eastAsiaTheme="minorEastAsia"/>
        </w:rPr>
        <w:t>1.5 费用承担</w:t>
      </w:r>
      <w:bookmarkEnd w:id="38"/>
      <w:bookmarkEnd w:id="39"/>
      <w:bookmarkEnd w:id="40"/>
    </w:p>
    <w:p w14:paraId="72313636">
      <w:pPr>
        <w:spacing w:line="360" w:lineRule="auto"/>
        <w:ind w:firstLine="480" w:firstLineChars="200"/>
        <w:jc w:val="both"/>
        <w:rPr>
          <w:rFonts w:cs="仿宋" w:asciiTheme="minorEastAsia" w:hAnsiTheme="minorEastAsia" w:eastAsiaTheme="minorEastAsia"/>
        </w:rPr>
      </w:pPr>
      <w:r>
        <w:rPr>
          <w:rFonts w:hint="eastAsia" w:asciiTheme="minorEastAsia" w:hAnsiTheme="minorEastAsia" w:eastAsiaTheme="minorEastAsia"/>
        </w:rPr>
        <w:t>投标人</w:t>
      </w:r>
      <w:r>
        <w:rPr>
          <w:rFonts w:hint="eastAsia" w:cs="仿宋" w:asciiTheme="minorEastAsia" w:hAnsiTheme="minorEastAsia" w:eastAsiaTheme="minorEastAsia"/>
        </w:rPr>
        <w:t>准备和参加谈判活动发生的费用自理。</w:t>
      </w:r>
    </w:p>
    <w:p w14:paraId="64F9B06C">
      <w:pPr>
        <w:pStyle w:val="126"/>
        <w:spacing w:after="0"/>
        <w:ind w:left="0" w:firstLine="482" w:firstLineChars="200"/>
        <w:outlineLvl w:val="9"/>
        <w:rPr>
          <w:rFonts w:cs="Times New Roman" w:asciiTheme="minorEastAsia" w:hAnsiTheme="minorEastAsia" w:eastAsiaTheme="minorEastAsia"/>
        </w:rPr>
      </w:pPr>
      <w:bookmarkStart w:id="41" w:name="_Toc218261881"/>
      <w:bookmarkStart w:id="42" w:name="_Toc507936019"/>
      <w:bookmarkStart w:id="43" w:name="_Toc506105824"/>
      <w:r>
        <w:rPr>
          <w:rFonts w:hint="eastAsia" w:asciiTheme="minorEastAsia" w:hAnsiTheme="minorEastAsia" w:eastAsiaTheme="minorEastAsia"/>
        </w:rPr>
        <w:t>1.6 保密</w:t>
      </w:r>
      <w:bookmarkEnd w:id="41"/>
      <w:bookmarkEnd w:id="42"/>
      <w:bookmarkEnd w:id="43"/>
    </w:p>
    <w:p w14:paraId="59F21459">
      <w:pPr>
        <w:spacing w:line="360" w:lineRule="auto"/>
        <w:ind w:firstLine="480" w:firstLineChars="200"/>
        <w:jc w:val="both"/>
        <w:rPr>
          <w:rFonts w:cs="仿宋" w:asciiTheme="minorEastAsia" w:hAnsiTheme="minorEastAsia" w:eastAsiaTheme="minorEastAsia"/>
        </w:rPr>
      </w:pPr>
      <w:r>
        <w:rPr>
          <w:rFonts w:hint="eastAsia" w:cs="仿宋" w:asciiTheme="minorEastAsia" w:hAnsiTheme="minorEastAsia" w:eastAsiaTheme="minorEastAsia"/>
        </w:rPr>
        <w:t>参与谈判活动的各方应对谈判文件和响应文件中的商业和技术等秘密保密，违者应对由此造成的后果承担法律责任。</w:t>
      </w:r>
    </w:p>
    <w:p w14:paraId="37037080">
      <w:pPr>
        <w:pStyle w:val="126"/>
        <w:spacing w:after="0"/>
        <w:ind w:left="0" w:firstLine="482" w:firstLineChars="200"/>
        <w:outlineLvl w:val="9"/>
        <w:rPr>
          <w:rFonts w:cs="Times New Roman" w:asciiTheme="minorEastAsia" w:hAnsiTheme="minorEastAsia" w:eastAsiaTheme="minorEastAsia"/>
        </w:rPr>
      </w:pPr>
      <w:bookmarkStart w:id="44" w:name="_Toc507936020"/>
      <w:bookmarkStart w:id="45" w:name="_Toc506105825"/>
      <w:bookmarkStart w:id="46" w:name="_Toc218261882"/>
      <w:r>
        <w:rPr>
          <w:rFonts w:hint="eastAsia" w:asciiTheme="minorEastAsia" w:hAnsiTheme="minorEastAsia" w:eastAsiaTheme="minorEastAsia"/>
        </w:rPr>
        <w:t>1.7 语言文字</w:t>
      </w:r>
      <w:bookmarkEnd w:id="44"/>
      <w:bookmarkEnd w:id="45"/>
      <w:bookmarkEnd w:id="46"/>
    </w:p>
    <w:p w14:paraId="19FFB3FF">
      <w:pPr>
        <w:spacing w:line="360" w:lineRule="auto"/>
        <w:ind w:firstLine="480" w:firstLineChars="200"/>
        <w:jc w:val="both"/>
        <w:rPr>
          <w:rFonts w:cs="仿宋" w:asciiTheme="minorEastAsia" w:hAnsiTheme="minorEastAsia" w:eastAsiaTheme="minorEastAsia"/>
        </w:rPr>
      </w:pPr>
      <w:r>
        <w:rPr>
          <w:rFonts w:hint="eastAsia" w:cs="仿宋" w:asciiTheme="minorEastAsia" w:hAnsiTheme="minorEastAsia" w:eastAsiaTheme="minorEastAsia"/>
        </w:rPr>
        <w:t>除专用术语外，与谈判有关的语言均使用中文，必要时专用术语应附有中文注释。</w:t>
      </w:r>
    </w:p>
    <w:p w14:paraId="01A8FAC8">
      <w:pPr>
        <w:pStyle w:val="126"/>
        <w:spacing w:after="0"/>
        <w:ind w:left="0" w:firstLine="482" w:firstLineChars="200"/>
        <w:outlineLvl w:val="9"/>
        <w:rPr>
          <w:rFonts w:cs="Times New Roman" w:asciiTheme="minorEastAsia" w:hAnsiTheme="minorEastAsia" w:eastAsiaTheme="minorEastAsia"/>
        </w:rPr>
      </w:pPr>
      <w:bookmarkStart w:id="47" w:name="_Toc507936021"/>
      <w:bookmarkStart w:id="48" w:name="_Toc506105826"/>
      <w:bookmarkStart w:id="49" w:name="_Toc218261883"/>
      <w:r>
        <w:rPr>
          <w:rFonts w:hint="eastAsia" w:asciiTheme="minorEastAsia" w:hAnsiTheme="minorEastAsia" w:eastAsiaTheme="minorEastAsia"/>
        </w:rPr>
        <w:t>1.8 计量单位</w:t>
      </w:r>
      <w:bookmarkEnd w:id="47"/>
      <w:bookmarkEnd w:id="48"/>
      <w:bookmarkEnd w:id="49"/>
    </w:p>
    <w:p w14:paraId="4AA98686">
      <w:pPr>
        <w:spacing w:line="360" w:lineRule="auto"/>
        <w:ind w:firstLine="480" w:firstLineChars="200"/>
        <w:jc w:val="both"/>
        <w:rPr>
          <w:rFonts w:cs="仿宋" w:asciiTheme="minorEastAsia" w:hAnsiTheme="minorEastAsia" w:eastAsiaTheme="minorEastAsia"/>
        </w:rPr>
      </w:pPr>
      <w:r>
        <w:rPr>
          <w:rFonts w:hint="eastAsia" w:cs="仿宋" w:asciiTheme="minorEastAsia" w:hAnsiTheme="minorEastAsia" w:eastAsiaTheme="minorEastAsia"/>
        </w:rPr>
        <w:t>所有计量均采用中华人民共和国法定计量单位。</w:t>
      </w:r>
    </w:p>
    <w:p w14:paraId="649AA18A">
      <w:pPr>
        <w:pStyle w:val="126"/>
        <w:spacing w:after="0"/>
        <w:ind w:left="0" w:firstLine="482" w:firstLineChars="200"/>
        <w:outlineLvl w:val="9"/>
        <w:rPr>
          <w:rFonts w:cs="Times New Roman" w:asciiTheme="minorEastAsia" w:hAnsiTheme="minorEastAsia" w:eastAsiaTheme="minorEastAsia"/>
        </w:rPr>
      </w:pPr>
      <w:bookmarkStart w:id="50" w:name="_Toc218261884"/>
      <w:bookmarkStart w:id="51" w:name="_Toc507936022"/>
      <w:bookmarkStart w:id="52" w:name="_Toc506105827"/>
      <w:r>
        <w:rPr>
          <w:rFonts w:hint="eastAsia" w:asciiTheme="minorEastAsia" w:hAnsiTheme="minorEastAsia" w:eastAsiaTheme="minorEastAsia"/>
        </w:rPr>
        <w:t>1.9 踏勘现场</w:t>
      </w:r>
      <w:bookmarkEnd w:id="50"/>
      <w:bookmarkEnd w:id="51"/>
      <w:bookmarkEnd w:id="52"/>
    </w:p>
    <w:p w14:paraId="1B340ECA">
      <w:pPr>
        <w:spacing w:line="360" w:lineRule="auto"/>
        <w:ind w:firstLine="480" w:firstLineChars="200"/>
        <w:jc w:val="both"/>
        <w:rPr>
          <w:rStyle w:val="133"/>
          <w:rFonts w:asciiTheme="minorEastAsia" w:hAnsiTheme="minorEastAsia" w:eastAsiaTheme="minorEastAsia"/>
        </w:rPr>
      </w:pPr>
      <w:r>
        <w:rPr>
          <w:rFonts w:hint="eastAsia" w:cs="仿宋" w:asciiTheme="minorEastAsia" w:hAnsiTheme="minorEastAsia" w:eastAsiaTheme="minorEastAsia"/>
        </w:rPr>
        <w:t>1.9.1详见谈判须知前附表</w:t>
      </w:r>
    </w:p>
    <w:p w14:paraId="37282530">
      <w:pPr>
        <w:pStyle w:val="126"/>
        <w:spacing w:after="0"/>
        <w:ind w:left="0" w:firstLine="482" w:firstLineChars="200"/>
        <w:outlineLvl w:val="9"/>
        <w:rPr>
          <w:rFonts w:asciiTheme="minorEastAsia" w:hAnsiTheme="minorEastAsia" w:eastAsiaTheme="minorEastAsia"/>
        </w:rPr>
      </w:pPr>
      <w:bookmarkStart w:id="53" w:name="_Toc507936023"/>
      <w:bookmarkStart w:id="54" w:name="_Toc218261885"/>
      <w:bookmarkStart w:id="55" w:name="_Toc506105828"/>
      <w:r>
        <w:rPr>
          <w:rFonts w:hint="eastAsia" w:asciiTheme="minorEastAsia" w:hAnsiTheme="minorEastAsia" w:eastAsiaTheme="minorEastAsia"/>
        </w:rPr>
        <w:t>1.10 谈判预备会</w:t>
      </w:r>
      <w:bookmarkEnd w:id="53"/>
      <w:bookmarkEnd w:id="54"/>
      <w:bookmarkEnd w:id="55"/>
    </w:p>
    <w:p w14:paraId="1A27790F">
      <w:pPr>
        <w:spacing w:line="360" w:lineRule="auto"/>
        <w:ind w:firstLine="480" w:firstLineChars="200"/>
        <w:jc w:val="both"/>
        <w:rPr>
          <w:rFonts w:cs="仿宋" w:asciiTheme="minorEastAsia" w:hAnsiTheme="minorEastAsia" w:eastAsiaTheme="minorEastAsia"/>
        </w:rPr>
      </w:pPr>
      <w:r>
        <w:rPr>
          <w:rFonts w:hint="eastAsia" w:cs="仿宋" w:asciiTheme="minorEastAsia" w:hAnsiTheme="minorEastAsia" w:eastAsiaTheme="minorEastAsia"/>
        </w:rPr>
        <w:t>1.10.1采购人不召开谈判预备会。</w:t>
      </w:r>
    </w:p>
    <w:p w14:paraId="775BE706">
      <w:pPr>
        <w:pStyle w:val="124"/>
        <w:spacing w:after="0"/>
        <w:ind w:left="0" w:firstLine="0"/>
        <w:outlineLvl w:val="2"/>
        <w:rPr>
          <w:rStyle w:val="133"/>
          <w:b w:val="0"/>
          <w:bCs w:val="0"/>
        </w:rPr>
      </w:pPr>
      <w:bookmarkStart w:id="56" w:name="_Toc507936024"/>
      <w:bookmarkStart w:id="57" w:name="_Toc218261886"/>
      <w:r>
        <w:rPr>
          <w:rStyle w:val="133"/>
          <w:b w:val="0"/>
          <w:bCs w:val="0"/>
        </w:rPr>
        <w:t>2.</w:t>
      </w:r>
      <w:r>
        <w:rPr>
          <w:rStyle w:val="133"/>
          <w:rFonts w:hint="eastAsia"/>
          <w:b w:val="0"/>
          <w:bCs w:val="0"/>
        </w:rPr>
        <w:t>谈判文件</w:t>
      </w:r>
      <w:bookmarkEnd w:id="56"/>
      <w:bookmarkEnd w:id="57"/>
    </w:p>
    <w:p w14:paraId="1BBAC253">
      <w:pPr>
        <w:pStyle w:val="126"/>
        <w:spacing w:after="0"/>
        <w:ind w:left="0" w:firstLine="482" w:firstLineChars="200"/>
        <w:outlineLvl w:val="9"/>
        <w:rPr>
          <w:rFonts w:asciiTheme="minorEastAsia" w:hAnsiTheme="minorEastAsia" w:eastAsiaTheme="minorEastAsia"/>
        </w:rPr>
      </w:pPr>
      <w:bookmarkStart w:id="58" w:name="_Toc506105830"/>
      <w:bookmarkStart w:id="59" w:name="_Toc507936025"/>
      <w:bookmarkStart w:id="60" w:name="_Toc218261887"/>
      <w:r>
        <w:rPr>
          <w:rFonts w:hint="eastAsia" w:asciiTheme="minorEastAsia" w:hAnsiTheme="minorEastAsia" w:eastAsiaTheme="minorEastAsia"/>
        </w:rPr>
        <w:t>2.1 谈判文件的内容</w:t>
      </w:r>
      <w:bookmarkEnd w:id="58"/>
      <w:bookmarkEnd w:id="59"/>
      <w:r>
        <w:rPr>
          <w:rFonts w:hint="eastAsia" w:asciiTheme="minorEastAsia" w:hAnsiTheme="minorEastAsia" w:eastAsiaTheme="minorEastAsia"/>
        </w:rPr>
        <w:t>和发布</w:t>
      </w:r>
      <w:bookmarkEnd w:id="60"/>
    </w:p>
    <w:p w14:paraId="66BDA86A">
      <w:pPr>
        <w:spacing w:line="360" w:lineRule="auto"/>
        <w:ind w:firstLine="480" w:firstLineChars="200"/>
        <w:jc w:val="both"/>
        <w:rPr>
          <w:rFonts w:cs="仿宋" w:asciiTheme="minorEastAsia" w:hAnsiTheme="minorEastAsia" w:eastAsiaTheme="minorEastAsia"/>
        </w:rPr>
      </w:pPr>
      <w:r>
        <w:rPr>
          <w:rFonts w:hint="eastAsia" w:cs="仿宋" w:asciiTheme="minorEastAsia" w:hAnsiTheme="minorEastAsia" w:eastAsiaTheme="minorEastAsia"/>
        </w:rPr>
        <w:t>2.1.1谈判文件包括：</w:t>
      </w:r>
    </w:p>
    <w:p w14:paraId="14F2E88A">
      <w:pPr>
        <w:spacing w:line="360" w:lineRule="auto"/>
        <w:ind w:firstLine="480" w:firstLineChars="200"/>
        <w:jc w:val="both"/>
        <w:rPr>
          <w:rFonts w:cs="仿宋" w:asciiTheme="minorEastAsia" w:hAnsiTheme="minorEastAsia" w:eastAsiaTheme="minorEastAsia"/>
        </w:rPr>
      </w:pPr>
      <w:r>
        <w:rPr>
          <w:rFonts w:hint="eastAsia" w:cs="仿宋" w:asciiTheme="minorEastAsia" w:hAnsiTheme="minorEastAsia" w:eastAsiaTheme="minorEastAsia"/>
        </w:rPr>
        <w:t>（1）谈判公告</w:t>
      </w:r>
    </w:p>
    <w:p w14:paraId="45CFBD8A">
      <w:pPr>
        <w:spacing w:line="360" w:lineRule="auto"/>
        <w:ind w:firstLine="480" w:firstLineChars="200"/>
        <w:jc w:val="both"/>
        <w:rPr>
          <w:rFonts w:cs="仿宋" w:asciiTheme="minorEastAsia" w:hAnsiTheme="minorEastAsia" w:eastAsiaTheme="minorEastAsia"/>
        </w:rPr>
      </w:pPr>
      <w:r>
        <w:rPr>
          <w:rFonts w:hint="eastAsia" w:cs="仿宋" w:asciiTheme="minorEastAsia" w:hAnsiTheme="minorEastAsia" w:eastAsiaTheme="minorEastAsia"/>
        </w:rPr>
        <w:t>（2）谈判须知</w:t>
      </w:r>
    </w:p>
    <w:p w14:paraId="4DA734F1">
      <w:pPr>
        <w:spacing w:line="360" w:lineRule="auto"/>
        <w:ind w:firstLine="480" w:firstLineChars="200"/>
        <w:jc w:val="both"/>
        <w:rPr>
          <w:rFonts w:cs="仿宋" w:asciiTheme="minorEastAsia" w:hAnsiTheme="minorEastAsia" w:eastAsiaTheme="minorEastAsia"/>
        </w:rPr>
      </w:pPr>
      <w:r>
        <w:rPr>
          <w:rFonts w:hint="eastAsia" w:cs="仿宋" w:asciiTheme="minorEastAsia" w:hAnsiTheme="minorEastAsia" w:eastAsiaTheme="minorEastAsia"/>
        </w:rPr>
        <w:t>（3）评审办法</w:t>
      </w:r>
    </w:p>
    <w:p w14:paraId="22A6EB47">
      <w:pPr>
        <w:spacing w:line="360" w:lineRule="auto"/>
        <w:ind w:firstLine="480" w:firstLineChars="200"/>
        <w:jc w:val="both"/>
        <w:rPr>
          <w:rFonts w:cs="仿宋" w:asciiTheme="minorEastAsia" w:hAnsiTheme="minorEastAsia" w:eastAsiaTheme="minorEastAsia"/>
        </w:rPr>
      </w:pPr>
      <w:r>
        <w:rPr>
          <w:rFonts w:hint="eastAsia" w:cs="仿宋" w:asciiTheme="minorEastAsia" w:hAnsiTheme="minorEastAsia" w:eastAsiaTheme="minorEastAsia"/>
        </w:rPr>
        <w:t>（4）合同及附件</w:t>
      </w:r>
    </w:p>
    <w:p w14:paraId="789CC194">
      <w:pPr>
        <w:spacing w:line="360" w:lineRule="auto"/>
        <w:ind w:firstLine="480" w:firstLineChars="200"/>
        <w:jc w:val="both"/>
        <w:rPr>
          <w:rFonts w:cs="仿宋" w:asciiTheme="minorEastAsia" w:hAnsiTheme="minorEastAsia" w:eastAsiaTheme="minorEastAsia"/>
        </w:rPr>
      </w:pPr>
      <w:r>
        <w:rPr>
          <w:rFonts w:hint="eastAsia" w:cs="仿宋" w:asciiTheme="minorEastAsia" w:hAnsiTheme="minorEastAsia" w:eastAsiaTheme="minorEastAsia"/>
        </w:rPr>
        <w:t>（5）响应文件格式及内容</w:t>
      </w:r>
    </w:p>
    <w:p w14:paraId="30BB5336">
      <w:pPr>
        <w:spacing w:line="360" w:lineRule="auto"/>
        <w:ind w:firstLine="480" w:firstLineChars="200"/>
        <w:jc w:val="both"/>
        <w:rPr>
          <w:rFonts w:cs="仿宋" w:asciiTheme="minorEastAsia" w:hAnsiTheme="minorEastAsia" w:eastAsiaTheme="minorEastAsia"/>
        </w:rPr>
      </w:pPr>
      <w:r>
        <w:rPr>
          <w:rFonts w:hint="eastAsia" w:cs="仿宋" w:asciiTheme="minorEastAsia" w:hAnsiTheme="minorEastAsia" w:eastAsiaTheme="minorEastAsia"/>
        </w:rPr>
        <w:t>根据本章第1.10款、第2.2款和第2.3款对谈判文件所作的澄清、修改，构成谈判文件的组成部分。</w:t>
      </w:r>
    </w:p>
    <w:p w14:paraId="1D740F9E">
      <w:pPr>
        <w:spacing w:line="360" w:lineRule="auto"/>
        <w:ind w:firstLine="480" w:firstLineChars="200"/>
        <w:jc w:val="both"/>
        <w:rPr>
          <w:rFonts w:cs="仿宋" w:asciiTheme="minorEastAsia" w:hAnsiTheme="minorEastAsia" w:eastAsiaTheme="minorEastAsia"/>
        </w:rPr>
      </w:pPr>
      <w:r>
        <w:rPr>
          <w:rFonts w:hint="eastAsia" w:cs="仿宋" w:asciiTheme="minorEastAsia" w:hAnsiTheme="minorEastAsia" w:eastAsiaTheme="minorEastAsia"/>
        </w:rPr>
        <w:t>2.1.2若谈判文件中不同章节对同一内容叙述有差异的，性能、参数以技术要求为准；投标人资格要求、服务期、质保期以</w:t>
      </w:r>
      <w:r>
        <w:rPr>
          <w:rFonts w:hint="eastAsia" w:asciiTheme="minorEastAsia" w:hAnsiTheme="minorEastAsia" w:eastAsiaTheme="minorEastAsia"/>
        </w:rPr>
        <w:t>谈判须知前附表</w:t>
      </w:r>
      <w:r>
        <w:rPr>
          <w:rFonts w:hint="eastAsia" w:cs="仿宋" w:asciiTheme="minorEastAsia" w:hAnsiTheme="minorEastAsia" w:eastAsiaTheme="minorEastAsia"/>
        </w:rPr>
        <w:t>为准。</w:t>
      </w:r>
    </w:p>
    <w:p w14:paraId="0887E171">
      <w:pPr>
        <w:pStyle w:val="22"/>
        <w:spacing w:after="0" w:line="360" w:lineRule="auto"/>
        <w:ind w:left="0" w:leftChars="0" w:firstLine="480"/>
        <w:jc w:val="both"/>
        <w:rPr>
          <w:rFonts w:cs="仿宋" w:asciiTheme="minorEastAsia" w:hAnsiTheme="minorEastAsia" w:eastAsiaTheme="minorEastAsia"/>
        </w:rPr>
      </w:pPr>
      <w:r>
        <w:rPr>
          <w:rFonts w:hint="eastAsia" w:cs="仿宋" w:asciiTheme="minorEastAsia" w:hAnsiTheme="minorEastAsia" w:eastAsiaTheme="minorEastAsia"/>
        </w:rPr>
        <w:t>2.1.3本谈判文件在济钢集团有限公司阳光购销平台（网址：</w:t>
      </w:r>
      <w:r>
        <w:rPr>
          <w:rFonts w:cs="仿宋" w:asciiTheme="minorEastAsia" w:hAnsiTheme="minorEastAsia" w:eastAsiaTheme="minorEastAsia"/>
        </w:rPr>
        <w:fldChar w:fldCharType="begin"/>
      </w:r>
      <w:r>
        <w:rPr>
          <w:rFonts w:cs="仿宋" w:asciiTheme="minorEastAsia" w:hAnsiTheme="minorEastAsia" w:eastAsiaTheme="minorEastAsia"/>
        </w:rPr>
        <w:instrText xml:space="preserve">HYPERLINK "http://bidding.jigang.com.cn"</w:instrText>
      </w:r>
      <w:r>
        <w:rPr>
          <w:rFonts w:cs="仿宋" w:asciiTheme="minorEastAsia" w:hAnsiTheme="minorEastAsia" w:eastAsiaTheme="minorEastAsia"/>
        </w:rPr>
        <w:fldChar w:fldCharType="separate"/>
      </w:r>
      <w:r>
        <w:rPr>
          <w:rStyle w:val="28"/>
          <w:rFonts w:hint="eastAsia" w:cs="仿宋" w:asciiTheme="minorEastAsia" w:hAnsiTheme="minorEastAsia" w:eastAsiaTheme="minorEastAsia"/>
          <w:color w:val="auto"/>
        </w:rPr>
        <w:t>http://bidding.jigang.com.cn</w:t>
      </w:r>
      <w:r>
        <w:rPr>
          <w:rFonts w:cs="仿宋" w:asciiTheme="minorEastAsia" w:hAnsiTheme="minorEastAsia" w:eastAsiaTheme="minorEastAsia"/>
        </w:rPr>
        <w:fldChar w:fldCharType="end"/>
      </w:r>
      <w:r>
        <w:rPr>
          <w:rFonts w:hint="eastAsia" w:cs="仿宋" w:asciiTheme="minorEastAsia" w:hAnsiTheme="minorEastAsia" w:eastAsiaTheme="minorEastAsia"/>
        </w:rPr>
        <w:t>/） 上发布。除上述媒介以外的媒介转载或发布与本次谈判相关信息的，采购人不承担任何责任并保留追究相关方责任的权利。</w:t>
      </w:r>
    </w:p>
    <w:p w14:paraId="5FE052A3">
      <w:pPr>
        <w:pStyle w:val="126"/>
        <w:spacing w:after="0"/>
        <w:ind w:left="0" w:firstLine="482" w:firstLineChars="200"/>
        <w:outlineLvl w:val="9"/>
        <w:rPr>
          <w:rFonts w:cs="Times New Roman" w:asciiTheme="minorEastAsia" w:hAnsiTheme="minorEastAsia" w:eastAsiaTheme="minorEastAsia"/>
        </w:rPr>
      </w:pPr>
      <w:bookmarkStart w:id="61" w:name="_Toc506105831"/>
      <w:bookmarkStart w:id="62" w:name="_Toc218261888"/>
      <w:bookmarkStart w:id="63" w:name="_Toc507936026"/>
      <w:r>
        <w:rPr>
          <w:rFonts w:hint="eastAsia" w:asciiTheme="minorEastAsia" w:hAnsiTheme="minorEastAsia" w:eastAsiaTheme="minorEastAsia"/>
        </w:rPr>
        <w:t>2.2 谈判文件的澄清</w:t>
      </w:r>
      <w:bookmarkEnd w:id="61"/>
      <w:bookmarkEnd w:id="62"/>
      <w:bookmarkEnd w:id="63"/>
    </w:p>
    <w:p w14:paraId="3BCF25F6">
      <w:pPr>
        <w:spacing w:line="360" w:lineRule="auto"/>
        <w:ind w:firstLine="480" w:firstLineChars="200"/>
        <w:jc w:val="both"/>
        <w:rPr>
          <w:rFonts w:asciiTheme="minorEastAsia" w:hAnsiTheme="minorEastAsia" w:eastAsiaTheme="minorEastAsia"/>
        </w:rPr>
      </w:pPr>
      <w:bookmarkStart w:id="64" w:name="_Toc506105832"/>
      <w:bookmarkStart w:id="65" w:name="_Toc507936027"/>
      <w:r>
        <w:rPr>
          <w:rFonts w:hint="eastAsia" w:asciiTheme="minorEastAsia" w:hAnsiTheme="minorEastAsia" w:eastAsiaTheme="minorEastAsia"/>
        </w:rPr>
        <w:t>2.2.1 投标人应仔细阅读和检查竞争性谈判文件的全部内容。如发现缺页或附件不全，应及时向采购人或代理机构提出，以便补齐。如有疑问、异议，应在</w:t>
      </w:r>
      <w:r>
        <w:rPr>
          <w:rFonts w:hint="eastAsia" w:cs="仿宋" w:asciiTheme="minorEastAsia" w:hAnsiTheme="minorEastAsia" w:eastAsiaTheme="minorEastAsia"/>
        </w:rPr>
        <w:t>谈判截止时间2天前</w:t>
      </w:r>
      <w:r>
        <w:rPr>
          <w:rFonts w:hint="eastAsia" w:asciiTheme="minorEastAsia" w:hAnsiTheme="minorEastAsia" w:eastAsiaTheme="minorEastAsia"/>
        </w:rPr>
        <w:t>以书面形式要求采购人对竞争性谈判文件予以澄清。</w:t>
      </w:r>
    </w:p>
    <w:p w14:paraId="14F013AE">
      <w:pPr>
        <w:spacing w:line="360" w:lineRule="auto"/>
        <w:ind w:firstLine="480" w:firstLineChars="200"/>
        <w:jc w:val="both"/>
        <w:rPr>
          <w:rFonts w:asciiTheme="minorEastAsia" w:hAnsiTheme="minorEastAsia" w:eastAsiaTheme="minorEastAsia"/>
        </w:rPr>
      </w:pPr>
      <w:r>
        <w:rPr>
          <w:rFonts w:hint="eastAsia" w:asciiTheme="minorEastAsia" w:hAnsiTheme="minorEastAsia" w:eastAsiaTheme="minorEastAsia"/>
        </w:rPr>
        <w:t>2.2.2 竞争性谈判文件的澄清将在投标人须知前附表规定的报价截止时间前以书面形式发给所有购买竞争性谈判文件的投标人，但不指明澄清问题的来源。如果澄清发出的时间距报价截止时间不足，相应延长报价截止时间。</w:t>
      </w:r>
    </w:p>
    <w:p w14:paraId="592FAE5C">
      <w:pPr>
        <w:spacing w:line="360" w:lineRule="auto"/>
        <w:ind w:firstLine="480" w:firstLineChars="200"/>
        <w:jc w:val="both"/>
        <w:rPr>
          <w:rFonts w:asciiTheme="minorEastAsia" w:hAnsiTheme="minorEastAsia" w:eastAsiaTheme="minorEastAsia"/>
        </w:rPr>
      </w:pPr>
      <w:r>
        <w:rPr>
          <w:rFonts w:hint="eastAsia" w:asciiTheme="minorEastAsia" w:hAnsiTheme="minorEastAsia" w:eastAsiaTheme="minorEastAsia"/>
        </w:rPr>
        <w:t>2.2.3 投标人在收到澄清后，应在投标人须知前附表规定的时间内以书面形式通知采购人/代理机构，确认已收到该澄清。</w:t>
      </w:r>
    </w:p>
    <w:p w14:paraId="1540E973">
      <w:pPr>
        <w:pStyle w:val="126"/>
        <w:spacing w:after="0"/>
        <w:ind w:left="0" w:firstLine="482" w:firstLineChars="200"/>
        <w:outlineLvl w:val="9"/>
        <w:rPr>
          <w:rFonts w:asciiTheme="minorEastAsia" w:hAnsiTheme="minorEastAsia" w:eastAsiaTheme="minorEastAsia"/>
        </w:rPr>
      </w:pPr>
      <w:bookmarkStart w:id="66" w:name="_Toc218261889"/>
      <w:r>
        <w:rPr>
          <w:rFonts w:hint="eastAsia" w:asciiTheme="minorEastAsia" w:hAnsiTheme="minorEastAsia" w:eastAsiaTheme="minorEastAsia"/>
        </w:rPr>
        <w:t xml:space="preserve">2.3 </w:t>
      </w:r>
      <w:bookmarkEnd w:id="64"/>
      <w:bookmarkEnd w:id="65"/>
      <w:r>
        <w:rPr>
          <w:rFonts w:hint="eastAsia" w:asciiTheme="minorEastAsia" w:hAnsiTheme="minorEastAsia" w:eastAsiaTheme="minorEastAsia"/>
          <w:b w:val="0"/>
          <w:bCs w:val="0"/>
        </w:rPr>
        <w:t>竞争性谈判文件的修改</w:t>
      </w:r>
      <w:bookmarkEnd w:id="66"/>
    </w:p>
    <w:p w14:paraId="76489513">
      <w:pPr>
        <w:spacing w:line="360" w:lineRule="auto"/>
        <w:ind w:firstLine="480" w:firstLineChars="200"/>
        <w:jc w:val="both"/>
        <w:rPr>
          <w:rFonts w:asciiTheme="minorEastAsia" w:hAnsiTheme="minorEastAsia" w:eastAsiaTheme="minorEastAsia"/>
        </w:rPr>
      </w:pPr>
      <w:r>
        <w:rPr>
          <w:rFonts w:hint="eastAsia" w:asciiTheme="minorEastAsia" w:hAnsiTheme="minorEastAsia" w:eastAsiaTheme="minorEastAsia"/>
        </w:rPr>
        <w:t>2.3.1 在报价截止时间前，采购人可以书面形式修改竞争性谈判文件，并通知所有已购买竞争性谈判文件的投标人。</w:t>
      </w:r>
    </w:p>
    <w:p w14:paraId="598BF1DC">
      <w:pPr>
        <w:spacing w:line="360" w:lineRule="auto"/>
        <w:ind w:firstLine="480" w:firstLineChars="200"/>
        <w:jc w:val="both"/>
        <w:rPr>
          <w:rFonts w:cs="仿宋" w:asciiTheme="minorEastAsia" w:hAnsiTheme="minorEastAsia" w:eastAsiaTheme="minorEastAsia"/>
        </w:rPr>
      </w:pPr>
      <w:r>
        <w:rPr>
          <w:rFonts w:hint="eastAsia" w:asciiTheme="minorEastAsia" w:hAnsiTheme="minorEastAsia" w:eastAsiaTheme="minorEastAsia"/>
        </w:rPr>
        <w:t>2.3.2 投标人收到修改内容后，应在投标人须知前附表规定的时间内以书面形式通知采购人/代理机构，确认已收到该修改。</w:t>
      </w:r>
    </w:p>
    <w:p w14:paraId="68CA7DC7">
      <w:pPr>
        <w:pStyle w:val="124"/>
        <w:spacing w:after="0"/>
        <w:ind w:left="0" w:firstLine="0"/>
        <w:outlineLvl w:val="2"/>
        <w:rPr>
          <w:rStyle w:val="133"/>
          <w:b w:val="0"/>
          <w:bCs w:val="0"/>
        </w:rPr>
      </w:pPr>
      <w:bookmarkStart w:id="67" w:name="_Toc218261890"/>
      <w:r>
        <w:rPr>
          <w:rStyle w:val="133"/>
          <w:b w:val="0"/>
          <w:bCs w:val="0"/>
        </w:rPr>
        <w:t>3</w:t>
      </w:r>
      <w:r>
        <w:rPr>
          <w:rStyle w:val="133"/>
          <w:rFonts w:hint="eastAsia"/>
          <w:b w:val="0"/>
          <w:bCs w:val="0"/>
        </w:rPr>
        <w:t>.响应文件</w:t>
      </w:r>
      <w:bookmarkEnd w:id="67"/>
    </w:p>
    <w:p w14:paraId="3B483AF9">
      <w:pPr>
        <w:pStyle w:val="126"/>
        <w:spacing w:after="0"/>
        <w:ind w:left="0" w:firstLine="482" w:firstLineChars="200"/>
        <w:outlineLvl w:val="9"/>
        <w:rPr>
          <w:rFonts w:asciiTheme="minorEastAsia" w:hAnsiTheme="minorEastAsia" w:eastAsiaTheme="minorEastAsia"/>
        </w:rPr>
      </w:pPr>
      <w:bookmarkStart w:id="68" w:name="_Toc506105835"/>
      <w:bookmarkStart w:id="69" w:name="_Toc218261891"/>
      <w:bookmarkStart w:id="70" w:name="_Toc507936029"/>
      <w:r>
        <w:rPr>
          <w:rFonts w:hint="eastAsia" w:asciiTheme="minorEastAsia" w:hAnsiTheme="minorEastAsia" w:eastAsiaTheme="minorEastAsia"/>
        </w:rPr>
        <w:t>3.1 响应文件的组成</w:t>
      </w:r>
      <w:bookmarkEnd w:id="68"/>
      <w:bookmarkEnd w:id="69"/>
      <w:bookmarkEnd w:id="70"/>
    </w:p>
    <w:p w14:paraId="5D0B29B6">
      <w:pPr>
        <w:pStyle w:val="126"/>
        <w:tabs>
          <w:tab w:val="left" w:pos="420"/>
        </w:tabs>
        <w:spacing w:after="0"/>
        <w:ind w:left="0" w:firstLine="480" w:firstLineChars="200"/>
        <w:outlineLvl w:val="9"/>
        <w:rPr>
          <w:rFonts w:asciiTheme="minorEastAsia" w:hAnsiTheme="minorEastAsia" w:eastAsiaTheme="minorEastAsia"/>
          <w:b w:val="0"/>
          <w:bCs w:val="0"/>
        </w:rPr>
      </w:pPr>
      <w:bookmarkStart w:id="71" w:name="_Toc218261892"/>
      <w:r>
        <w:rPr>
          <w:rFonts w:asciiTheme="minorEastAsia" w:hAnsiTheme="minorEastAsia" w:eastAsiaTheme="minorEastAsia"/>
          <w:b w:val="0"/>
          <w:bCs w:val="0"/>
        </w:rPr>
        <w:t xml:space="preserve">3.1 </w:t>
      </w:r>
      <w:r>
        <w:rPr>
          <w:rFonts w:hint="eastAsia" w:cs="宋体" w:asciiTheme="minorEastAsia" w:hAnsiTheme="minorEastAsia" w:eastAsiaTheme="minorEastAsia"/>
          <w:b w:val="0"/>
          <w:bCs w:val="0"/>
        </w:rPr>
        <w:t>投标人在谈判过程中作出的符合法律法规和谈判文件规定的澄清确认，构成响应文件的组成部分。</w:t>
      </w:r>
      <w:bookmarkEnd w:id="71"/>
    </w:p>
    <w:p w14:paraId="104C215B">
      <w:pPr>
        <w:pStyle w:val="126"/>
        <w:spacing w:after="0"/>
        <w:ind w:left="0" w:firstLine="482" w:firstLineChars="200"/>
        <w:outlineLvl w:val="9"/>
        <w:rPr>
          <w:rFonts w:asciiTheme="minorEastAsia" w:hAnsiTheme="minorEastAsia" w:eastAsiaTheme="minorEastAsia"/>
        </w:rPr>
      </w:pPr>
      <w:bookmarkStart w:id="72" w:name="_Toc406766394"/>
      <w:bookmarkStart w:id="73" w:name="_Toc507936030"/>
      <w:bookmarkStart w:id="74" w:name="_Toc506105836"/>
      <w:bookmarkStart w:id="75" w:name="_Toc218261893"/>
      <w:r>
        <w:rPr>
          <w:rFonts w:hint="eastAsia" w:asciiTheme="minorEastAsia" w:hAnsiTheme="minorEastAsia" w:eastAsiaTheme="minorEastAsia"/>
        </w:rPr>
        <w:t>3.2 报价</w:t>
      </w:r>
      <w:bookmarkEnd w:id="72"/>
      <w:bookmarkEnd w:id="73"/>
      <w:bookmarkEnd w:id="74"/>
      <w:bookmarkEnd w:id="75"/>
    </w:p>
    <w:p w14:paraId="53A86BA9">
      <w:pPr>
        <w:spacing w:line="360" w:lineRule="auto"/>
        <w:ind w:firstLine="480" w:firstLineChars="200"/>
        <w:jc w:val="both"/>
        <w:rPr>
          <w:rFonts w:cs="仿宋" w:asciiTheme="minorEastAsia" w:hAnsiTheme="minorEastAsia" w:eastAsiaTheme="minorEastAsia"/>
        </w:rPr>
      </w:pPr>
      <w:r>
        <w:rPr>
          <w:rFonts w:hint="eastAsia" w:cs="仿宋" w:asciiTheme="minorEastAsia" w:hAnsiTheme="minorEastAsia" w:eastAsiaTheme="minorEastAsia"/>
        </w:rPr>
        <w:t xml:space="preserve">3.2.1 </w:t>
      </w:r>
      <w:r>
        <w:rPr>
          <w:rFonts w:hint="eastAsia" w:asciiTheme="minorEastAsia" w:hAnsiTheme="minorEastAsia" w:eastAsiaTheme="minorEastAsia"/>
        </w:rPr>
        <w:t>报价币种：人民币；报价为含增值税价格。</w:t>
      </w:r>
    </w:p>
    <w:p w14:paraId="7F3716CB">
      <w:pPr>
        <w:spacing w:line="360" w:lineRule="auto"/>
        <w:ind w:firstLine="480" w:firstLineChars="200"/>
        <w:jc w:val="both"/>
        <w:rPr>
          <w:rFonts w:cs="仿宋" w:asciiTheme="minorEastAsia" w:hAnsiTheme="minorEastAsia" w:eastAsiaTheme="minorEastAsia"/>
        </w:rPr>
      </w:pPr>
      <w:r>
        <w:rPr>
          <w:rFonts w:hint="eastAsia" w:cs="仿宋" w:asciiTheme="minorEastAsia" w:hAnsiTheme="minorEastAsia" w:eastAsiaTheme="minorEastAsia"/>
        </w:rPr>
        <w:t>3.2.2 投标人在谈判开始时间前修改报价函中的总报价，应同时修改“报价组成表”中的相应价格。此修改须符合本章第4.3款的有关规定。　</w:t>
      </w:r>
    </w:p>
    <w:p w14:paraId="7F72793B">
      <w:pPr>
        <w:pStyle w:val="126"/>
        <w:spacing w:after="0"/>
        <w:ind w:left="0" w:firstLine="482" w:firstLineChars="200"/>
        <w:outlineLvl w:val="9"/>
        <w:rPr>
          <w:rFonts w:cs="Times New Roman" w:asciiTheme="minorEastAsia" w:hAnsiTheme="minorEastAsia" w:eastAsiaTheme="minorEastAsia"/>
        </w:rPr>
      </w:pPr>
      <w:bookmarkStart w:id="76" w:name="_Toc507936031"/>
      <w:bookmarkStart w:id="77" w:name="_Toc406766395"/>
      <w:bookmarkStart w:id="78" w:name="_Toc506105837"/>
      <w:bookmarkStart w:id="79" w:name="_Toc218261894"/>
      <w:r>
        <w:rPr>
          <w:rFonts w:hint="eastAsia" w:asciiTheme="minorEastAsia" w:hAnsiTheme="minorEastAsia" w:eastAsiaTheme="minorEastAsia"/>
        </w:rPr>
        <w:t>3.3 谈判有效期</w:t>
      </w:r>
      <w:bookmarkEnd w:id="76"/>
      <w:bookmarkEnd w:id="77"/>
      <w:bookmarkEnd w:id="78"/>
      <w:bookmarkEnd w:id="79"/>
    </w:p>
    <w:p w14:paraId="65A1C6A4">
      <w:pPr>
        <w:spacing w:line="360" w:lineRule="auto"/>
        <w:ind w:firstLine="480" w:firstLineChars="200"/>
        <w:jc w:val="both"/>
        <w:rPr>
          <w:rFonts w:asciiTheme="minorEastAsia" w:hAnsiTheme="minorEastAsia" w:eastAsiaTheme="minorEastAsia"/>
        </w:rPr>
      </w:pPr>
      <w:r>
        <w:rPr>
          <w:rFonts w:hint="eastAsia" w:cs="仿宋" w:asciiTheme="minorEastAsia" w:hAnsiTheme="minorEastAsia" w:eastAsiaTheme="minorEastAsia"/>
        </w:rPr>
        <w:t>3.3.1谈判有效期：</w:t>
      </w:r>
      <w:r>
        <w:rPr>
          <w:rFonts w:hint="eastAsia" w:asciiTheme="minorEastAsia" w:hAnsiTheme="minorEastAsia" w:eastAsiaTheme="minorEastAsia"/>
        </w:rPr>
        <w:t>在投标人须知前附表规定的报价有效期内，投标人不得要求撤销或修改其响应文件。</w:t>
      </w:r>
    </w:p>
    <w:p w14:paraId="0A4E6550">
      <w:pPr>
        <w:spacing w:line="360" w:lineRule="auto"/>
        <w:ind w:firstLine="480" w:firstLineChars="200"/>
        <w:jc w:val="both"/>
        <w:rPr>
          <w:rFonts w:cs="仿宋" w:asciiTheme="minorEastAsia" w:hAnsiTheme="minorEastAsia" w:eastAsiaTheme="minorEastAsia"/>
        </w:rPr>
      </w:pPr>
      <w:r>
        <w:rPr>
          <w:rFonts w:hint="eastAsia" w:cs="仿宋" w:asciiTheme="minorEastAsia" w:hAnsiTheme="minorEastAsia" w:eastAsiaTheme="minorEastAsia"/>
        </w:rPr>
        <w:t>3.3.2 出现特殊情况需要延长谈判有效期的，采购人以书面形式通知所有投标人延长谈判有效期。投标人同意延长的，应相应延长其谈判保证金的有效期，但不得要求或被允许修改或撤销其响应文件；投标人拒绝延长的，其响应文件失效，但投标人有权收回其谈判保证金。</w:t>
      </w:r>
    </w:p>
    <w:p w14:paraId="7C915878">
      <w:pPr>
        <w:pStyle w:val="126"/>
        <w:spacing w:after="0"/>
        <w:ind w:left="0" w:firstLine="482" w:firstLineChars="200"/>
        <w:outlineLvl w:val="9"/>
        <w:rPr>
          <w:rFonts w:cs="Times New Roman" w:asciiTheme="minorEastAsia" w:hAnsiTheme="minorEastAsia" w:eastAsiaTheme="minorEastAsia"/>
        </w:rPr>
      </w:pPr>
      <w:bookmarkStart w:id="80" w:name="_Toc406766396"/>
      <w:bookmarkStart w:id="81" w:name="_Toc506105838"/>
      <w:bookmarkStart w:id="82" w:name="_Toc218261895"/>
      <w:bookmarkStart w:id="83" w:name="_Toc507936032"/>
      <w:r>
        <w:rPr>
          <w:rFonts w:hint="eastAsia" w:asciiTheme="minorEastAsia" w:hAnsiTheme="minorEastAsia" w:eastAsiaTheme="minorEastAsia"/>
        </w:rPr>
        <w:t>3.4 谈判保证金</w:t>
      </w:r>
      <w:bookmarkEnd w:id="80"/>
      <w:bookmarkEnd w:id="81"/>
      <w:bookmarkEnd w:id="82"/>
      <w:bookmarkEnd w:id="83"/>
    </w:p>
    <w:p w14:paraId="6EFBEC73">
      <w:pPr>
        <w:spacing w:line="360" w:lineRule="auto"/>
        <w:ind w:firstLine="480" w:firstLineChars="200"/>
        <w:jc w:val="both"/>
        <w:rPr>
          <w:rFonts w:cs="仿宋" w:asciiTheme="minorEastAsia" w:hAnsiTheme="minorEastAsia" w:eastAsiaTheme="minorEastAsia"/>
        </w:rPr>
      </w:pPr>
      <w:bookmarkStart w:id="84" w:name="_Toc507936033"/>
      <w:bookmarkStart w:id="85" w:name="_Toc506105839"/>
      <w:r>
        <w:rPr>
          <w:rFonts w:hint="eastAsia" w:cs="仿宋" w:asciiTheme="minorEastAsia" w:hAnsiTheme="minorEastAsia" w:eastAsiaTheme="minorEastAsia"/>
        </w:rPr>
        <w:t>3.4.1投标人在递交响应文件的同时，应按谈判须知前附表规定的金额、形式递交谈判保证金，并作为其响应文件的组成部分。以现金或者支票形式提交的保证金，应当从其基本账户转出。联合体报名的，其保证金可以由牵头人递交，并应符合谈判人须知前附表的规定。</w:t>
      </w:r>
    </w:p>
    <w:p w14:paraId="51AAF788">
      <w:pPr>
        <w:spacing w:line="360" w:lineRule="auto"/>
        <w:ind w:firstLine="480" w:firstLineChars="200"/>
        <w:jc w:val="both"/>
        <w:rPr>
          <w:rFonts w:cs="仿宋" w:asciiTheme="minorEastAsia" w:hAnsiTheme="minorEastAsia" w:eastAsiaTheme="minorEastAsia"/>
        </w:rPr>
      </w:pPr>
      <w:r>
        <w:rPr>
          <w:rFonts w:hint="eastAsia" w:cs="仿宋" w:asciiTheme="minorEastAsia" w:hAnsiTheme="minorEastAsia" w:eastAsiaTheme="minorEastAsia"/>
        </w:rPr>
        <w:t>3.4.2投标人不按本章第3.4.1项要求提交谈判保证金的，评审委员会将否决其报名。</w:t>
      </w:r>
    </w:p>
    <w:p w14:paraId="26E6EAB5">
      <w:pPr>
        <w:spacing w:line="360" w:lineRule="auto"/>
        <w:ind w:firstLine="480" w:firstLineChars="200"/>
        <w:jc w:val="both"/>
        <w:rPr>
          <w:rFonts w:cs="仿宋" w:asciiTheme="minorEastAsia" w:hAnsiTheme="minorEastAsia" w:eastAsiaTheme="minorEastAsia"/>
        </w:rPr>
      </w:pPr>
      <w:r>
        <w:rPr>
          <w:rFonts w:hint="eastAsia" w:cs="仿宋" w:asciiTheme="minorEastAsia" w:hAnsiTheme="minorEastAsia" w:eastAsiaTheme="minorEastAsia"/>
        </w:rPr>
        <w:t>3.4.3有下列情形之一的，保证金将不予退还：</w:t>
      </w:r>
    </w:p>
    <w:p w14:paraId="03C6F47B">
      <w:pPr>
        <w:spacing w:line="360" w:lineRule="auto"/>
        <w:ind w:firstLine="480" w:firstLineChars="200"/>
        <w:jc w:val="both"/>
        <w:rPr>
          <w:rFonts w:cs="仿宋" w:asciiTheme="minorEastAsia" w:hAnsiTheme="minorEastAsia" w:eastAsiaTheme="minorEastAsia"/>
        </w:rPr>
      </w:pPr>
      <w:r>
        <w:rPr>
          <w:rFonts w:hint="eastAsia" w:cs="仿宋" w:asciiTheme="minorEastAsia" w:hAnsiTheme="minorEastAsia" w:eastAsiaTheme="minorEastAsia"/>
        </w:rPr>
        <w:t>（1）投标人在报价有效期内撤销响应文件；</w:t>
      </w:r>
    </w:p>
    <w:p w14:paraId="029DB42E">
      <w:pPr>
        <w:spacing w:line="360" w:lineRule="auto"/>
        <w:ind w:firstLine="480" w:firstLineChars="200"/>
        <w:jc w:val="both"/>
        <w:rPr>
          <w:rFonts w:cs="仿宋" w:asciiTheme="minorEastAsia" w:hAnsiTheme="minorEastAsia" w:eastAsiaTheme="minorEastAsia"/>
        </w:rPr>
      </w:pPr>
      <w:r>
        <w:rPr>
          <w:rFonts w:hint="eastAsia" w:cs="仿宋" w:asciiTheme="minorEastAsia" w:hAnsiTheme="minorEastAsia" w:eastAsiaTheme="minorEastAsia"/>
        </w:rPr>
        <w:t>（2）成交单位在收到成交通知书后，无正当理由不与采购人订立合同，在签订合同时向采购人提出附加条件，或者不按照谈判文件要求提交履约保证金；</w:t>
      </w:r>
    </w:p>
    <w:p w14:paraId="7716039A">
      <w:pPr>
        <w:spacing w:line="360" w:lineRule="auto"/>
        <w:ind w:firstLine="480" w:firstLineChars="200"/>
        <w:jc w:val="both"/>
        <w:rPr>
          <w:rFonts w:cs="仿宋" w:asciiTheme="minorEastAsia" w:hAnsiTheme="minorEastAsia" w:eastAsiaTheme="minorEastAsia"/>
        </w:rPr>
      </w:pPr>
      <w:r>
        <w:rPr>
          <w:rFonts w:hint="eastAsia" w:cs="仿宋" w:asciiTheme="minorEastAsia" w:hAnsiTheme="minorEastAsia" w:eastAsiaTheme="minorEastAsia"/>
        </w:rPr>
        <w:t>（3）发生谈判须知前附表规定的其他可以不予退还保证金的情形。</w:t>
      </w:r>
    </w:p>
    <w:p w14:paraId="2295224F">
      <w:pPr>
        <w:pStyle w:val="126"/>
        <w:spacing w:after="0"/>
        <w:ind w:left="0" w:firstLine="480" w:firstLineChars="200"/>
        <w:outlineLvl w:val="9"/>
        <w:rPr>
          <w:rFonts w:cs="Times New Roman" w:asciiTheme="minorEastAsia" w:hAnsiTheme="minorEastAsia" w:eastAsiaTheme="minorEastAsia"/>
          <w:b w:val="0"/>
          <w:bCs w:val="0"/>
        </w:rPr>
      </w:pPr>
      <w:bookmarkStart w:id="86" w:name="_Toc218261896"/>
      <w:r>
        <w:rPr>
          <w:rFonts w:asciiTheme="minorEastAsia" w:hAnsiTheme="minorEastAsia" w:eastAsiaTheme="minorEastAsia"/>
          <w:b w:val="0"/>
          <w:bCs w:val="0"/>
        </w:rPr>
        <w:t xml:space="preserve">3.5 </w:t>
      </w:r>
      <w:r>
        <w:rPr>
          <w:rFonts w:hint="eastAsia" w:asciiTheme="minorEastAsia" w:hAnsiTheme="minorEastAsia" w:eastAsiaTheme="minorEastAsia"/>
          <w:b w:val="0"/>
          <w:bCs w:val="0"/>
        </w:rPr>
        <w:t>资格审查资料</w:t>
      </w:r>
      <w:bookmarkEnd w:id="84"/>
      <w:bookmarkEnd w:id="85"/>
      <w:bookmarkEnd w:id="86"/>
    </w:p>
    <w:p w14:paraId="4E5208BD">
      <w:pPr>
        <w:spacing w:line="360" w:lineRule="auto"/>
        <w:ind w:firstLine="480" w:firstLineChars="200"/>
        <w:jc w:val="both"/>
        <w:rPr>
          <w:rFonts w:cs="仿宋" w:asciiTheme="minorEastAsia" w:hAnsiTheme="minorEastAsia" w:eastAsiaTheme="minorEastAsia"/>
        </w:rPr>
      </w:pPr>
      <w:r>
        <w:rPr>
          <w:rFonts w:hint="eastAsia" w:cs="仿宋" w:asciiTheme="minorEastAsia" w:hAnsiTheme="minorEastAsia" w:eastAsiaTheme="minorEastAsia"/>
        </w:rPr>
        <w:t>除谈判须知前附表另有规定外，投标人应按下列规定提供资格审查资料，以证明其满足本章第1.4款规定的资质、财务、业绩、信誉等要求。</w:t>
      </w:r>
    </w:p>
    <w:p w14:paraId="3C2624E9">
      <w:pPr>
        <w:spacing w:line="360" w:lineRule="auto"/>
        <w:ind w:firstLine="480" w:firstLineChars="200"/>
        <w:jc w:val="both"/>
        <w:rPr>
          <w:rFonts w:cs="Times New Roman" w:asciiTheme="minorEastAsia" w:hAnsiTheme="minorEastAsia" w:eastAsiaTheme="minorEastAsia"/>
          <w:sz w:val="28"/>
          <w:szCs w:val="28"/>
        </w:rPr>
      </w:pPr>
      <w:r>
        <w:rPr>
          <w:rFonts w:hint="eastAsia" w:cs="仿宋" w:asciiTheme="minorEastAsia" w:hAnsiTheme="minorEastAsia" w:eastAsiaTheme="minorEastAsia"/>
        </w:rPr>
        <w:t>3.5.1 “投标人基本情况表”</w:t>
      </w:r>
      <w:r>
        <w:rPr>
          <w:rFonts w:hint="eastAsia" w:asciiTheme="minorEastAsia" w:hAnsiTheme="minorEastAsia" w:eastAsiaTheme="minorEastAsia"/>
          <w:szCs w:val="21"/>
        </w:rPr>
        <w:t>应附营业执照、资质证书副本等材料的原件扫描件。</w:t>
      </w:r>
    </w:p>
    <w:p w14:paraId="1E62C7DA">
      <w:pPr>
        <w:spacing w:line="360" w:lineRule="auto"/>
        <w:ind w:firstLine="480" w:firstLineChars="200"/>
        <w:jc w:val="both"/>
        <w:rPr>
          <w:rFonts w:cs="仿宋" w:asciiTheme="minorEastAsia" w:hAnsiTheme="minorEastAsia" w:eastAsiaTheme="minorEastAsia"/>
        </w:rPr>
      </w:pPr>
      <w:r>
        <w:rPr>
          <w:rFonts w:hint="eastAsia" w:cs="仿宋" w:asciiTheme="minorEastAsia" w:hAnsiTheme="minorEastAsia" w:eastAsiaTheme="minorEastAsia"/>
        </w:rPr>
        <w:t>3.5.2 “近年财务状况表”应附经会计师事务所或审计机构审计的财务会计报表扫描件，具体年份要求见谈判须知前附表。</w:t>
      </w:r>
    </w:p>
    <w:p w14:paraId="4E99BB6E">
      <w:pPr>
        <w:spacing w:line="360" w:lineRule="auto"/>
        <w:ind w:firstLine="480" w:firstLineChars="200"/>
        <w:jc w:val="both"/>
        <w:rPr>
          <w:rFonts w:cs="仿宋" w:asciiTheme="minorEastAsia" w:hAnsiTheme="minorEastAsia" w:eastAsiaTheme="minorEastAsia"/>
        </w:rPr>
      </w:pPr>
      <w:r>
        <w:rPr>
          <w:rFonts w:hint="eastAsia" w:cs="仿宋" w:asciiTheme="minorEastAsia" w:hAnsiTheme="minorEastAsia" w:eastAsiaTheme="minorEastAsia"/>
        </w:rPr>
        <w:t>3.5.3“近年完成的业绩情况表”应附合同的原件扫描件，具体时间要求见谈判须知前附表。</w:t>
      </w:r>
    </w:p>
    <w:p w14:paraId="7AB83E81">
      <w:pPr>
        <w:spacing w:line="360" w:lineRule="auto"/>
        <w:ind w:firstLine="480" w:firstLineChars="200"/>
        <w:jc w:val="both"/>
        <w:rPr>
          <w:rFonts w:cs="仿宋" w:asciiTheme="minorEastAsia" w:hAnsiTheme="minorEastAsia" w:eastAsiaTheme="minorEastAsia"/>
        </w:rPr>
      </w:pPr>
      <w:r>
        <w:rPr>
          <w:rFonts w:hint="eastAsia" w:cs="仿宋" w:asciiTheme="minorEastAsia" w:hAnsiTheme="minorEastAsia" w:eastAsiaTheme="minorEastAsia"/>
        </w:rPr>
        <w:t>3.5.4“近年发生的诉讼及仲裁情况”应附败诉的买卖合同的相关情况，并附法院或仲裁机构作出的判决、裁决等有关法律文书，具体时间要求见谈判须知前附表。</w:t>
      </w:r>
    </w:p>
    <w:p w14:paraId="0942C903">
      <w:pPr>
        <w:spacing w:line="360" w:lineRule="auto"/>
        <w:ind w:firstLine="480" w:firstLineChars="200"/>
        <w:jc w:val="both"/>
        <w:rPr>
          <w:rFonts w:cs="仿宋" w:asciiTheme="minorEastAsia" w:hAnsiTheme="minorEastAsia" w:eastAsiaTheme="minorEastAsia"/>
        </w:rPr>
      </w:pPr>
      <w:r>
        <w:rPr>
          <w:rFonts w:hint="eastAsia" w:cs="仿宋" w:asciiTheme="minorEastAsia" w:hAnsiTheme="minorEastAsia" w:eastAsiaTheme="minorEastAsia"/>
        </w:rPr>
        <w:t>3.5.5投标人认为有必要提供的其他证明文件。</w:t>
      </w:r>
    </w:p>
    <w:p w14:paraId="62262C2A">
      <w:pPr>
        <w:pStyle w:val="126"/>
        <w:spacing w:after="0"/>
        <w:ind w:left="0" w:firstLine="480" w:firstLineChars="200"/>
        <w:outlineLvl w:val="9"/>
        <w:rPr>
          <w:rFonts w:cs="Times New Roman" w:asciiTheme="minorEastAsia" w:hAnsiTheme="minorEastAsia" w:eastAsiaTheme="minorEastAsia"/>
          <w:b w:val="0"/>
          <w:bCs w:val="0"/>
        </w:rPr>
      </w:pPr>
      <w:bookmarkStart w:id="87" w:name="_Toc507936034"/>
      <w:bookmarkStart w:id="88" w:name="_Toc506105840"/>
      <w:bookmarkStart w:id="89" w:name="_Toc218261897"/>
      <w:r>
        <w:rPr>
          <w:rFonts w:asciiTheme="minorEastAsia" w:hAnsiTheme="minorEastAsia" w:eastAsiaTheme="minorEastAsia"/>
          <w:b w:val="0"/>
          <w:bCs w:val="0"/>
        </w:rPr>
        <w:t xml:space="preserve">3.6 </w:t>
      </w:r>
      <w:r>
        <w:rPr>
          <w:rFonts w:hint="eastAsia" w:asciiTheme="minorEastAsia" w:hAnsiTheme="minorEastAsia" w:eastAsiaTheme="minorEastAsia"/>
          <w:b w:val="0"/>
          <w:bCs w:val="0"/>
        </w:rPr>
        <w:t>备选方案</w:t>
      </w:r>
      <w:bookmarkEnd w:id="87"/>
      <w:bookmarkEnd w:id="88"/>
      <w:bookmarkEnd w:id="89"/>
    </w:p>
    <w:p w14:paraId="6D792A50">
      <w:pPr>
        <w:spacing w:line="360" w:lineRule="auto"/>
        <w:ind w:firstLine="480" w:firstLineChars="200"/>
        <w:jc w:val="both"/>
        <w:rPr>
          <w:rFonts w:cs="仿宋" w:asciiTheme="minorEastAsia" w:hAnsiTheme="minorEastAsia" w:eastAsiaTheme="minorEastAsia"/>
        </w:rPr>
      </w:pPr>
      <w:r>
        <w:rPr>
          <w:rFonts w:hint="eastAsia" w:cs="仿宋" w:asciiTheme="minorEastAsia" w:hAnsiTheme="minorEastAsia" w:eastAsiaTheme="minorEastAsia"/>
        </w:rPr>
        <w:t>3.6.1本次谈判不接受备选方案。</w:t>
      </w:r>
    </w:p>
    <w:p w14:paraId="5C591DD8">
      <w:pPr>
        <w:pStyle w:val="126"/>
        <w:spacing w:after="0"/>
        <w:ind w:left="0" w:firstLine="482" w:firstLineChars="200"/>
        <w:outlineLvl w:val="9"/>
        <w:rPr>
          <w:rFonts w:cs="Times New Roman" w:asciiTheme="minorEastAsia" w:hAnsiTheme="minorEastAsia" w:eastAsiaTheme="minorEastAsia"/>
        </w:rPr>
      </w:pPr>
      <w:bookmarkStart w:id="90" w:name="_Toc507936035"/>
      <w:bookmarkStart w:id="91" w:name="_Toc506105841"/>
      <w:bookmarkStart w:id="92" w:name="_Toc218261898"/>
      <w:r>
        <w:rPr>
          <w:rFonts w:hint="eastAsia" w:asciiTheme="minorEastAsia" w:hAnsiTheme="minorEastAsia" w:eastAsiaTheme="minorEastAsia"/>
        </w:rPr>
        <w:t>3.7 响应文件的编制</w:t>
      </w:r>
      <w:bookmarkEnd w:id="90"/>
      <w:bookmarkEnd w:id="91"/>
      <w:bookmarkEnd w:id="92"/>
    </w:p>
    <w:p w14:paraId="61DADF21">
      <w:pPr>
        <w:spacing w:line="360" w:lineRule="auto"/>
        <w:ind w:firstLine="480" w:firstLineChars="200"/>
        <w:jc w:val="both"/>
        <w:rPr>
          <w:rFonts w:cs="仿宋" w:asciiTheme="minorEastAsia" w:hAnsiTheme="minorEastAsia" w:eastAsiaTheme="minorEastAsia"/>
        </w:rPr>
      </w:pPr>
      <w:r>
        <w:rPr>
          <w:rFonts w:hint="eastAsia" w:cs="仿宋" w:asciiTheme="minorEastAsia" w:hAnsiTheme="minorEastAsia" w:eastAsiaTheme="minorEastAsia"/>
        </w:rPr>
        <w:t>3.7.1响应文件应按《第五章响应文件格式及内容》要求进行编写。</w:t>
      </w:r>
    </w:p>
    <w:p w14:paraId="24AED1E7">
      <w:pPr>
        <w:spacing w:line="360" w:lineRule="auto"/>
        <w:ind w:firstLine="480" w:firstLineChars="200"/>
        <w:jc w:val="both"/>
        <w:rPr>
          <w:rFonts w:cs="仿宋" w:asciiTheme="minorEastAsia" w:hAnsiTheme="minorEastAsia" w:eastAsiaTheme="minorEastAsia"/>
        </w:rPr>
      </w:pPr>
      <w:r>
        <w:rPr>
          <w:rFonts w:hint="eastAsia" w:cs="仿宋" w:asciiTheme="minorEastAsia" w:hAnsiTheme="minorEastAsia" w:eastAsiaTheme="minorEastAsia"/>
        </w:rPr>
        <w:t>3.7.2响应文件应当对谈判文件有关交货期、谈判有效期、质量要求、技术标准和要求、采购范围等实质性内容作出响应。</w:t>
      </w:r>
    </w:p>
    <w:p w14:paraId="61B74762">
      <w:pPr>
        <w:spacing w:line="360" w:lineRule="auto"/>
        <w:ind w:firstLine="480" w:firstLineChars="200"/>
        <w:jc w:val="both"/>
        <w:rPr>
          <w:rFonts w:cs="仿宋" w:asciiTheme="minorEastAsia" w:hAnsiTheme="minorEastAsia" w:eastAsiaTheme="minorEastAsia"/>
        </w:rPr>
      </w:pPr>
      <w:r>
        <w:rPr>
          <w:rFonts w:hint="eastAsia" w:cs="仿宋" w:asciiTheme="minorEastAsia" w:hAnsiTheme="minorEastAsia" w:eastAsiaTheme="minorEastAsia"/>
        </w:rPr>
        <w:t>3.7.3响应文件应用不褪色的材料书写或打印，并由法定代表人或其委托代理人签字或盖公章。签字或盖章的具体要求见谈判须知前附表。</w:t>
      </w:r>
    </w:p>
    <w:p w14:paraId="4F3A6AD8">
      <w:pPr>
        <w:spacing w:line="360" w:lineRule="auto"/>
        <w:ind w:firstLine="480" w:firstLineChars="200"/>
        <w:jc w:val="both"/>
        <w:rPr>
          <w:rFonts w:cs="仿宋" w:asciiTheme="minorEastAsia" w:hAnsiTheme="minorEastAsia" w:eastAsiaTheme="minorEastAsia"/>
        </w:rPr>
      </w:pPr>
      <w:r>
        <w:rPr>
          <w:rFonts w:hint="eastAsia" w:cs="仿宋" w:asciiTheme="minorEastAsia" w:hAnsiTheme="minorEastAsia" w:eastAsiaTheme="minorEastAsia"/>
        </w:rPr>
        <w:t>3.7.4响应文件正本和副本的封面上应清楚地标记“正本”或“副本”的字样。当副本和正本不一致时，以正本为准。</w:t>
      </w:r>
    </w:p>
    <w:p w14:paraId="0F21BE0F">
      <w:pPr>
        <w:spacing w:line="360" w:lineRule="auto"/>
        <w:ind w:firstLine="480" w:firstLineChars="200"/>
        <w:jc w:val="both"/>
        <w:rPr>
          <w:rFonts w:cs="仿宋" w:asciiTheme="minorEastAsia" w:hAnsiTheme="minorEastAsia" w:eastAsiaTheme="minorEastAsia"/>
        </w:rPr>
      </w:pPr>
      <w:r>
        <w:rPr>
          <w:rFonts w:hint="eastAsia" w:cs="仿宋" w:asciiTheme="minorEastAsia" w:hAnsiTheme="minorEastAsia" w:eastAsiaTheme="minorEastAsia"/>
        </w:rPr>
        <w:t>3.7.5响应文件的正本与副本应分别装订成册，并编制目录，详见谈判须知前附表。</w:t>
      </w:r>
    </w:p>
    <w:p w14:paraId="1C84F3E8">
      <w:pPr>
        <w:pStyle w:val="124"/>
        <w:spacing w:after="0"/>
        <w:ind w:left="0" w:firstLine="0"/>
        <w:outlineLvl w:val="2"/>
        <w:rPr>
          <w:rStyle w:val="133"/>
          <w:b w:val="0"/>
          <w:bCs w:val="0"/>
        </w:rPr>
      </w:pPr>
      <w:bookmarkStart w:id="93" w:name="_Toc218261899"/>
      <w:r>
        <w:rPr>
          <w:rStyle w:val="133"/>
          <w:b w:val="0"/>
          <w:bCs w:val="0"/>
        </w:rPr>
        <w:t>4.</w:t>
      </w:r>
      <w:r>
        <w:rPr>
          <w:rStyle w:val="133"/>
          <w:rFonts w:hint="eastAsia"/>
          <w:b w:val="0"/>
          <w:bCs w:val="0"/>
        </w:rPr>
        <w:t>响应</w:t>
      </w:r>
      <w:bookmarkEnd w:id="93"/>
    </w:p>
    <w:p w14:paraId="338DD66F">
      <w:pPr>
        <w:pStyle w:val="126"/>
        <w:spacing w:after="0"/>
        <w:ind w:left="0" w:firstLine="482" w:firstLineChars="200"/>
        <w:outlineLvl w:val="9"/>
      </w:pPr>
      <w:bookmarkStart w:id="94" w:name="_Toc506105844"/>
      <w:bookmarkStart w:id="95" w:name="_Toc507936037"/>
      <w:bookmarkStart w:id="96" w:name="_Toc218261900"/>
      <w:bookmarkStart w:id="97" w:name="_Toc506105846"/>
      <w:bookmarkStart w:id="98" w:name="_Toc507936039"/>
      <w:r>
        <w:rPr>
          <w:rFonts w:hint="eastAsia"/>
        </w:rPr>
        <w:t>4.1 响应文件的递交</w:t>
      </w:r>
      <w:bookmarkEnd w:id="94"/>
      <w:bookmarkEnd w:id="95"/>
      <w:bookmarkEnd w:id="96"/>
    </w:p>
    <w:p w14:paraId="63684148">
      <w:pPr>
        <w:spacing w:line="360" w:lineRule="auto"/>
        <w:ind w:firstLine="480" w:firstLineChars="200"/>
        <w:jc w:val="both"/>
        <w:rPr>
          <w:rFonts w:cs="仿宋"/>
        </w:rPr>
      </w:pPr>
      <w:r>
        <w:rPr>
          <w:rFonts w:hint="eastAsia" w:cs="仿宋"/>
        </w:rPr>
        <w:t>详见谈判须知前附表。</w:t>
      </w:r>
    </w:p>
    <w:p w14:paraId="319D42A5">
      <w:pPr>
        <w:pStyle w:val="126"/>
        <w:spacing w:after="0"/>
        <w:ind w:left="0" w:firstLine="482" w:firstLineChars="200"/>
        <w:outlineLvl w:val="9"/>
        <w:rPr>
          <w:rFonts w:cs="Times New Roman"/>
        </w:rPr>
      </w:pPr>
      <w:bookmarkStart w:id="99" w:name="_Toc506105845"/>
      <w:bookmarkStart w:id="100" w:name="_Toc218261901"/>
      <w:bookmarkStart w:id="101" w:name="_Toc507936038"/>
      <w:r>
        <w:rPr>
          <w:rFonts w:hint="eastAsia"/>
        </w:rPr>
        <w:t>4.2 响应文件的修改与撤回</w:t>
      </w:r>
      <w:bookmarkEnd w:id="99"/>
      <w:bookmarkEnd w:id="100"/>
      <w:bookmarkEnd w:id="101"/>
    </w:p>
    <w:p w14:paraId="79128576">
      <w:pPr>
        <w:spacing w:line="360" w:lineRule="auto"/>
        <w:ind w:firstLine="480" w:firstLineChars="200"/>
        <w:jc w:val="both"/>
        <w:rPr>
          <w:rFonts w:cs="仿宋"/>
        </w:rPr>
      </w:pPr>
      <w:r>
        <w:rPr>
          <w:rFonts w:hint="eastAsia" w:cs="仿宋"/>
        </w:rPr>
        <w:t>在上传响应文件截止时间前，投标人可以修改或撤回已递交的响应文件。</w:t>
      </w:r>
    </w:p>
    <w:p w14:paraId="5696F1AF">
      <w:pPr>
        <w:pStyle w:val="124"/>
        <w:spacing w:after="0"/>
        <w:ind w:left="0" w:firstLine="0"/>
        <w:outlineLvl w:val="2"/>
        <w:rPr>
          <w:rStyle w:val="133"/>
          <w:b w:val="0"/>
          <w:bCs w:val="0"/>
        </w:rPr>
      </w:pPr>
      <w:bookmarkStart w:id="102" w:name="_Toc218261902"/>
      <w:r>
        <w:rPr>
          <w:rStyle w:val="133"/>
          <w:b w:val="0"/>
          <w:bCs w:val="0"/>
        </w:rPr>
        <w:t>5.</w:t>
      </w:r>
      <w:bookmarkEnd w:id="97"/>
      <w:bookmarkEnd w:id="98"/>
      <w:r>
        <w:rPr>
          <w:rStyle w:val="133"/>
          <w:rFonts w:hint="eastAsia"/>
          <w:b w:val="0"/>
          <w:bCs w:val="0"/>
        </w:rPr>
        <w:t>谈判</w:t>
      </w:r>
      <w:bookmarkEnd w:id="102"/>
    </w:p>
    <w:p w14:paraId="77C29D1D">
      <w:pPr>
        <w:pStyle w:val="126"/>
        <w:spacing w:after="0"/>
        <w:ind w:left="0" w:firstLine="482" w:firstLineChars="200"/>
        <w:outlineLvl w:val="9"/>
      </w:pPr>
      <w:bookmarkStart w:id="103" w:name="_Toc506105847"/>
      <w:bookmarkStart w:id="104" w:name="_Toc507936040"/>
      <w:bookmarkStart w:id="105" w:name="_Toc218261903"/>
      <w:r>
        <w:rPr>
          <w:rFonts w:hint="eastAsia"/>
        </w:rPr>
        <w:t xml:space="preserve">5.1 </w:t>
      </w:r>
      <w:bookmarkEnd w:id="103"/>
      <w:bookmarkEnd w:id="104"/>
      <w:bookmarkStart w:id="106" w:name="_Toc506105848"/>
      <w:r>
        <w:rPr>
          <w:rFonts w:hint="eastAsia"/>
        </w:rPr>
        <w:t>谈判</w:t>
      </w:r>
      <w:bookmarkEnd w:id="105"/>
    </w:p>
    <w:p w14:paraId="001259E0">
      <w:pPr>
        <w:spacing w:line="360" w:lineRule="auto"/>
        <w:ind w:firstLine="480" w:firstLineChars="200"/>
        <w:jc w:val="both"/>
        <w:rPr>
          <w:rFonts w:cs="仿宋"/>
        </w:rPr>
      </w:pPr>
      <w:r>
        <w:rPr>
          <w:rFonts w:hint="eastAsia"/>
        </w:rPr>
        <w:t>谈判时间和方式：</w:t>
      </w:r>
      <w:r>
        <w:rPr>
          <w:rFonts w:hint="eastAsia" w:cs="仿宋"/>
        </w:rPr>
        <w:t>详见谈判须知前附表。</w:t>
      </w:r>
    </w:p>
    <w:bookmarkEnd w:id="106"/>
    <w:p w14:paraId="5B0E8F0F">
      <w:pPr>
        <w:pStyle w:val="124"/>
        <w:spacing w:after="0"/>
        <w:ind w:left="0" w:firstLine="0"/>
        <w:outlineLvl w:val="2"/>
        <w:rPr>
          <w:rStyle w:val="133"/>
          <w:b w:val="0"/>
          <w:bCs w:val="0"/>
        </w:rPr>
      </w:pPr>
      <w:bookmarkStart w:id="107" w:name="_Toc507936041"/>
      <w:bookmarkStart w:id="108" w:name="_Toc506105849"/>
      <w:bookmarkStart w:id="109" w:name="_Toc218261904"/>
      <w:r>
        <w:rPr>
          <w:rStyle w:val="133"/>
          <w:b w:val="0"/>
          <w:bCs w:val="0"/>
        </w:rPr>
        <w:t>6.</w:t>
      </w:r>
      <w:bookmarkEnd w:id="107"/>
      <w:bookmarkEnd w:id="108"/>
      <w:r>
        <w:rPr>
          <w:rStyle w:val="133"/>
          <w:rFonts w:hint="eastAsia"/>
          <w:b w:val="0"/>
          <w:bCs w:val="0"/>
        </w:rPr>
        <w:t>响应文件的评审</w:t>
      </w:r>
      <w:bookmarkEnd w:id="109"/>
    </w:p>
    <w:p w14:paraId="5893247E">
      <w:pPr>
        <w:spacing w:line="360" w:lineRule="auto"/>
        <w:ind w:firstLine="480" w:firstLineChars="200"/>
        <w:jc w:val="both"/>
        <w:rPr>
          <w:rFonts w:asciiTheme="minorEastAsia" w:hAnsiTheme="minorEastAsia" w:eastAsiaTheme="minorEastAsia"/>
        </w:rPr>
      </w:pPr>
      <w:bookmarkStart w:id="110" w:name="_Toc506105854"/>
      <w:bookmarkStart w:id="111" w:name="_Toc507936046"/>
      <w:r>
        <w:rPr>
          <w:rFonts w:hint="eastAsia" w:asciiTheme="minorEastAsia" w:hAnsiTheme="minorEastAsia" w:eastAsiaTheme="minorEastAsia"/>
        </w:rPr>
        <w:t>6.1 评审程序</w:t>
      </w:r>
    </w:p>
    <w:p w14:paraId="1FEBC86C">
      <w:pPr>
        <w:spacing w:line="360" w:lineRule="auto"/>
        <w:ind w:firstLine="480" w:firstLineChars="200"/>
        <w:jc w:val="both"/>
        <w:rPr>
          <w:rFonts w:asciiTheme="minorEastAsia" w:hAnsiTheme="minorEastAsia" w:eastAsiaTheme="minorEastAsia"/>
        </w:rPr>
      </w:pPr>
      <w:r>
        <w:rPr>
          <w:rFonts w:hint="eastAsia" w:asciiTheme="minorEastAsia" w:hAnsiTheme="minorEastAsia" w:eastAsiaTheme="minorEastAsia"/>
        </w:rPr>
        <w:t>6.1.1谈判小组依据谈判文件的规定，对响应文件的有效性、完整性和对谈判文件的响应程度进行审查，以确定是否对谈判文件的要求做出实质性响应。未对谈判文件做实质性响应的投标人，为无效报价，不得进入具体谈判程序。</w:t>
      </w:r>
    </w:p>
    <w:p w14:paraId="33749820">
      <w:pPr>
        <w:spacing w:line="360" w:lineRule="auto"/>
        <w:ind w:firstLine="480" w:firstLineChars="200"/>
        <w:jc w:val="both"/>
        <w:rPr>
          <w:rFonts w:asciiTheme="minorEastAsia" w:hAnsiTheme="minorEastAsia" w:eastAsiaTheme="minorEastAsia"/>
        </w:rPr>
      </w:pPr>
      <w:r>
        <w:rPr>
          <w:rFonts w:hint="eastAsia" w:asciiTheme="minorEastAsia" w:hAnsiTheme="minorEastAsia" w:eastAsiaTheme="minorEastAsia"/>
        </w:rPr>
        <w:t>对某一投标人的鉴定中，若有半数以上谈判小组成员认为某投标人有一项以上（包括一项）“不符合”，则该投标人不得进入下一步的评审。</w:t>
      </w:r>
    </w:p>
    <w:p w14:paraId="1AFCC2A4">
      <w:pPr>
        <w:spacing w:line="360" w:lineRule="auto"/>
        <w:ind w:firstLine="480" w:firstLineChars="200"/>
        <w:jc w:val="both"/>
        <w:rPr>
          <w:rFonts w:asciiTheme="minorEastAsia" w:hAnsiTheme="minorEastAsia" w:eastAsiaTheme="minorEastAsia"/>
        </w:rPr>
      </w:pPr>
      <w:r>
        <w:rPr>
          <w:rFonts w:hint="eastAsia" w:asciiTheme="minorEastAsia" w:hAnsiTheme="minorEastAsia" w:eastAsiaTheme="minorEastAsia"/>
        </w:rPr>
        <w:t>6.1.2评审内容的保密</w:t>
      </w:r>
    </w:p>
    <w:p w14:paraId="6DC3DE33">
      <w:pPr>
        <w:spacing w:line="360" w:lineRule="auto"/>
        <w:ind w:firstLine="480" w:firstLineChars="200"/>
        <w:jc w:val="both"/>
        <w:rPr>
          <w:rFonts w:asciiTheme="minorEastAsia" w:hAnsiTheme="minorEastAsia" w:eastAsiaTheme="minorEastAsia"/>
        </w:rPr>
      </w:pPr>
      <w:r>
        <w:rPr>
          <w:rFonts w:hint="eastAsia" w:asciiTheme="minorEastAsia" w:hAnsiTheme="minorEastAsia" w:eastAsiaTheme="minorEastAsia"/>
        </w:rPr>
        <w:t>（1）谈判开始，直到宣布成交投标人为止，凡属于审查、报价和比较报价的所有资料，有关授予合同的信息，都不应向投标人或与评审无关的其他人泄露。</w:t>
      </w:r>
    </w:p>
    <w:p w14:paraId="0E303574">
      <w:pPr>
        <w:spacing w:line="360" w:lineRule="auto"/>
        <w:ind w:firstLine="480" w:firstLineChars="200"/>
        <w:jc w:val="both"/>
        <w:rPr>
          <w:rFonts w:asciiTheme="minorEastAsia" w:hAnsiTheme="minorEastAsia" w:eastAsiaTheme="minorEastAsia"/>
        </w:rPr>
      </w:pPr>
      <w:r>
        <w:rPr>
          <w:rFonts w:hint="eastAsia" w:asciiTheme="minorEastAsia" w:hAnsiTheme="minorEastAsia" w:eastAsiaTheme="minorEastAsia"/>
        </w:rPr>
        <w:t>（2）在响应文件的审查、澄清、评价和比较以及授予合同过程中，投标人对采购人和谈判小组成员施加影响的任何行为，都将导致取消其报价资格。</w:t>
      </w:r>
    </w:p>
    <w:p w14:paraId="6A7F5E68">
      <w:pPr>
        <w:spacing w:line="360" w:lineRule="auto"/>
        <w:ind w:firstLine="480" w:firstLineChars="200"/>
        <w:jc w:val="both"/>
        <w:rPr>
          <w:rFonts w:asciiTheme="minorEastAsia" w:hAnsiTheme="minorEastAsia" w:eastAsiaTheme="minorEastAsia"/>
        </w:rPr>
      </w:pPr>
      <w:r>
        <w:rPr>
          <w:rFonts w:hint="eastAsia" w:asciiTheme="minorEastAsia" w:hAnsiTheme="minorEastAsia" w:eastAsiaTheme="minorEastAsia"/>
        </w:rPr>
        <w:t>6.1.3 报价无效</w:t>
      </w:r>
    </w:p>
    <w:p w14:paraId="3355AF9F">
      <w:pPr>
        <w:spacing w:line="360" w:lineRule="auto"/>
        <w:ind w:firstLine="480" w:firstLineChars="200"/>
        <w:jc w:val="both"/>
        <w:rPr>
          <w:rFonts w:asciiTheme="minorEastAsia" w:hAnsiTheme="minorEastAsia" w:eastAsiaTheme="minorEastAsia"/>
        </w:rPr>
      </w:pPr>
      <w:r>
        <w:rPr>
          <w:rFonts w:hint="eastAsia" w:asciiTheme="minorEastAsia" w:hAnsiTheme="minorEastAsia" w:eastAsiaTheme="minorEastAsia"/>
        </w:rPr>
        <w:t>6.1.3.1投标人有下列情况之一者，其报价无效，但报价保证金不被没收：</w:t>
      </w:r>
    </w:p>
    <w:p w14:paraId="793F398E">
      <w:pPr>
        <w:spacing w:line="360" w:lineRule="auto"/>
        <w:ind w:firstLine="480" w:firstLineChars="200"/>
        <w:jc w:val="both"/>
        <w:rPr>
          <w:rFonts w:asciiTheme="minorEastAsia" w:hAnsiTheme="minorEastAsia" w:eastAsiaTheme="minorEastAsia"/>
        </w:rPr>
      </w:pPr>
      <w:r>
        <w:rPr>
          <w:rFonts w:hint="eastAsia" w:asciiTheme="minorEastAsia" w:hAnsiTheme="minorEastAsia" w:eastAsiaTheme="minorEastAsia"/>
        </w:rPr>
        <w:t>（1）谈判文件中要求必备的证件未能提供；</w:t>
      </w:r>
    </w:p>
    <w:p w14:paraId="098FF1C7">
      <w:pPr>
        <w:spacing w:line="360" w:lineRule="auto"/>
        <w:ind w:firstLine="480" w:firstLineChars="200"/>
        <w:jc w:val="both"/>
        <w:rPr>
          <w:rFonts w:asciiTheme="minorEastAsia" w:hAnsiTheme="minorEastAsia" w:eastAsiaTheme="minorEastAsia"/>
        </w:rPr>
      </w:pPr>
      <w:r>
        <w:rPr>
          <w:rFonts w:hint="eastAsia" w:asciiTheme="minorEastAsia" w:hAnsiTheme="minorEastAsia" w:eastAsiaTheme="minorEastAsia"/>
        </w:rPr>
        <w:t>（2）不能达到谈判文件投标人资质要求的；</w:t>
      </w:r>
    </w:p>
    <w:p w14:paraId="723B1610">
      <w:pPr>
        <w:spacing w:line="360" w:lineRule="auto"/>
        <w:ind w:firstLine="480" w:firstLineChars="200"/>
        <w:jc w:val="both"/>
        <w:rPr>
          <w:rFonts w:asciiTheme="minorEastAsia" w:hAnsiTheme="minorEastAsia" w:eastAsiaTheme="minorEastAsia"/>
        </w:rPr>
      </w:pPr>
      <w:r>
        <w:rPr>
          <w:rFonts w:hint="eastAsia" w:asciiTheme="minorEastAsia" w:hAnsiTheme="minorEastAsia" w:eastAsiaTheme="minorEastAsia"/>
        </w:rPr>
        <w:t>（3）报价文件不完整；</w:t>
      </w:r>
    </w:p>
    <w:p w14:paraId="5FCA5B8C">
      <w:pPr>
        <w:spacing w:line="360" w:lineRule="auto"/>
        <w:ind w:firstLine="480" w:firstLineChars="200"/>
        <w:jc w:val="both"/>
        <w:rPr>
          <w:rFonts w:asciiTheme="minorEastAsia" w:hAnsiTheme="minorEastAsia" w:eastAsiaTheme="minorEastAsia"/>
        </w:rPr>
      </w:pPr>
      <w:r>
        <w:rPr>
          <w:rFonts w:hint="eastAsia" w:asciiTheme="minorEastAsia" w:hAnsiTheme="minorEastAsia" w:eastAsiaTheme="minorEastAsia"/>
        </w:rPr>
        <w:t>（4）未按规定报价或最终报价超过采购预算；</w:t>
      </w:r>
    </w:p>
    <w:p w14:paraId="7126EDE3">
      <w:pPr>
        <w:spacing w:line="360" w:lineRule="auto"/>
        <w:ind w:firstLine="480" w:firstLineChars="200"/>
        <w:jc w:val="both"/>
        <w:rPr>
          <w:rFonts w:asciiTheme="minorEastAsia" w:hAnsiTheme="minorEastAsia" w:eastAsiaTheme="minorEastAsia"/>
        </w:rPr>
      </w:pPr>
      <w:r>
        <w:rPr>
          <w:rFonts w:hint="eastAsia" w:asciiTheme="minorEastAsia" w:hAnsiTheme="minorEastAsia" w:eastAsiaTheme="minorEastAsia"/>
        </w:rPr>
        <w:t>（5）未按谈判文件要求提交报价保证金；</w:t>
      </w:r>
    </w:p>
    <w:p w14:paraId="7D810A1C">
      <w:pPr>
        <w:spacing w:line="360" w:lineRule="auto"/>
        <w:ind w:firstLine="480" w:firstLineChars="200"/>
        <w:jc w:val="both"/>
        <w:rPr>
          <w:rFonts w:asciiTheme="minorEastAsia" w:hAnsiTheme="minorEastAsia" w:eastAsiaTheme="minorEastAsia"/>
        </w:rPr>
      </w:pPr>
      <w:r>
        <w:rPr>
          <w:rFonts w:hint="eastAsia" w:asciiTheme="minorEastAsia" w:hAnsiTheme="minorEastAsia" w:eastAsiaTheme="minorEastAsia"/>
        </w:rPr>
        <w:t>（6）报价文件未按谈判文件要求密封、签署、装订、盖章；</w:t>
      </w:r>
    </w:p>
    <w:p w14:paraId="5A6DBCB2">
      <w:pPr>
        <w:spacing w:line="360" w:lineRule="auto"/>
        <w:ind w:firstLine="480" w:firstLineChars="200"/>
        <w:jc w:val="both"/>
        <w:rPr>
          <w:rFonts w:asciiTheme="minorEastAsia" w:hAnsiTheme="minorEastAsia" w:eastAsiaTheme="minorEastAsia"/>
        </w:rPr>
      </w:pPr>
      <w:r>
        <w:rPr>
          <w:rFonts w:hint="eastAsia" w:asciiTheme="minorEastAsia" w:hAnsiTheme="minorEastAsia" w:eastAsiaTheme="minorEastAsia"/>
        </w:rPr>
        <w:t>（7）报价文件载明的交货时间超过谈判文件规定的时间且不能被采购人接受；</w:t>
      </w:r>
    </w:p>
    <w:p w14:paraId="3EECE17D">
      <w:pPr>
        <w:spacing w:line="360" w:lineRule="auto"/>
        <w:ind w:firstLine="480" w:firstLineChars="200"/>
        <w:jc w:val="both"/>
        <w:rPr>
          <w:rFonts w:asciiTheme="minorEastAsia" w:hAnsiTheme="minorEastAsia" w:eastAsiaTheme="minorEastAsia"/>
        </w:rPr>
      </w:pPr>
      <w:r>
        <w:rPr>
          <w:rFonts w:hint="eastAsia" w:asciiTheme="minorEastAsia" w:hAnsiTheme="minorEastAsia" w:eastAsiaTheme="minorEastAsia"/>
        </w:rPr>
        <w:t>（8）报价文件载明的服务检验标准和方法等不符合谈判文件的要求；</w:t>
      </w:r>
    </w:p>
    <w:p w14:paraId="209356AC">
      <w:pPr>
        <w:spacing w:line="360" w:lineRule="auto"/>
        <w:ind w:firstLine="480" w:firstLineChars="200"/>
        <w:jc w:val="both"/>
        <w:rPr>
          <w:rFonts w:asciiTheme="minorEastAsia" w:hAnsiTheme="minorEastAsia" w:eastAsiaTheme="minorEastAsia"/>
        </w:rPr>
      </w:pPr>
      <w:r>
        <w:rPr>
          <w:rFonts w:hint="eastAsia" w:asciiTheme="minorEastAsia" w:hAnsiTheme="minorEastAsia" w:eastAsiaTheme="minorEastAsia"/>
        </w:rPr>
        <w:t>（9）报价文件中的服务配置、技术参数明显不符合谈判文件要求；</w:t>
      </w:r>
    </w:p>
    <w:p w14:paraId="4F70CB4A">
      <w:pPr>
        <w:spacing w:line="360" w:lineRule="auto"/>
        <w:ind w:firstLine="480" w:firstLineChars="200"/>
        <w:jc w:val="both"/>
        <w:rPr>
          <w:rFonts w:asciiTheme="minorEastAsia" w:hAnsiTheme="minorEastAsia" w:eastAsiaTheme="minorEastAsia"/>
        </w:rPr>
      </w:pPr>
      <w:r>
        <w:rPr>
          <w:rFonts w:hint="eastAsia" w:asciiTheme="minorEastAsia" w:hAnsiTheme="minorEastAsia" w:eastAsiaTheme="minorEastAsia"/>
        </w:rPr>
        <w:t>（10）响应文件未实质性响应竞争性谈判文件规定的格式、内容；</w:t>
      </w:r>
    </w:p>
    <w:p w14:paraId="3533C8AD">
      <w:pPr>
        <w:spacing w:line="360" w:lineRule="auto"/>
        <w:ind w:firstLine="480" w:firstLineChars="200"/>
        <w:jc w:val="both"/>
        <w:rPr>
          <w:rFonts w:asciiTheme="minorEastAsia" w:hAnsiTheme="minorEastAsia" w:eastAsiaTheme="minorEastAsia"/>
        </w:rPr>
      </w:pPr>
      <w:r>
        <w:rPr>
          <w:rFonts w:hint="eastAsia" w:asciiTheme="minorEastAsia" w:hAnsiTheme="minorEastAsia" w:eastAsiaTheme="minorEastAsia"/>
        </w:rPr>
        <w:t>（11）附有采购人不能接受的条件或不响应竞争性谈判文件规定的内容。</w:t>
      </w:r>
    </w:p>
    <w:p w14:paraId="1EA652D1">
      <w:pPr>
        <w:spacing w:line="360" w:lineRule="auto"/>
        <w:ind w:firstLine="480" w:firstLineChars="200"/>
        <w:jc w:val="both"/>
        <w:rPr>
          <w:rFonts w:asciiTheme="minorEastAsia" w:hAnsiTheme="minorEastAsia" w:eastAsiaTheme="minorEastAsia"/>
        </w:rPr>
      </w:pPr>
      <w:r>
        <w:rPr>
          <w:rFonts w:hint="eastAsia" w:asciiTheme="minorEastAsia" w:hAnsiTheme="minorEastAsia" w:eastAsiaTheme="minorEastAsia"/>
        </w:rPr>
        <w:t>（12）法律、法规规定的其他情况。</w:t>
      </w:r>
    </w:p>
    <w:p w14:paraId="6DC3D7B7">
      <w:pPr>
        <w:spacing w:line="360" w:lineRule="auto"/>
        <w:ind w:firstLine="480" w:firstLineChars="200"/>
        <w:jc w:val="both"/>
        <w:rPr>
          <w:rFonts w:asciiTheme="minorEastAsia" w:hAnsiTheme="minorEastAsia" w:eastAsiaTheme="minorEastAsia"/>
        </w:rPr>
      </w:pPr>
      <w:r>
        <w:rPr>
          <w:rFonts w:hint="eastAsia" w:asciiTheme="minorEastAsia" w:hAnsiTheme="minorEastAsia" w:eastAsiaTheme="minorEastAsia"/>
        </w:rPr>
        <w:t>6.1.3.2投标人有下列情况之一者，其报价无效，谈判保证金将被没收：</w:t>
      </w:r>
    </w:p>
    <w:p w14:paraId="0D3785BD">
      <w:pPr>
        <w:spacing w:line="360" w:lineRule="auto"/>
        <w:ind w:firstLine="480" w:firstLineChars="200"/>
        <w:jc w:val="both"/>
        <w:rPr>
          <w:rFonts w:asciiTheme="minorEastAsia" w:hAnsiTheme="minorEastAsia" w:eastAsiaTheme="minorEastAsia"/>
        </w:rPr>
      </w:pPr>
      <w:r>
        <w:rPr>
          <w:rFonts w:hint="eastAsia" w:asciiTheme="minorEastAsia" w:hAnsiTheme="minorEastAsia" w:eastAsiaTheme="minorEastAsia"/>
        </w:rPr>
        <w:t>（1）投标人向谈判小组、谈判工作有关的人员提供不正当利益；</w:t>
      </w:r>
    </w:p>
    <w:p w14:paraId="261259AF">
      <w:pPr>
        <w:spacing w:line="360" w:lineRule="auto"/>
        <w:ind w:firstLine="480" w:firstLineChars="200"/>
        <w:jc w:val="both"/>
        <w:rPr>
          <w:rFonts w:asciiTheme="minorEastAsia" w:hAnsiTheme="minorEastAsia" w:eastAsiaTheme="minorEastAsia"/>
        </w:rPr>
      </w:pPr>
      <w:r>
        <w:rPr>
          <w:rFonts w:hint="eastAsia" w:asciiTheme="minorEastAsia" w:hAnsiTheme="minorEastAsia" w:eastAsiaTheme="minorEastAsia"/>
        </w:rPr>
        <w:t>（2）成交投标人不按谈判文件规定的要求签订合同；</w:t>
      </w:r>
    </w:p>
    <w:p w14:paraId="290766FE">
      <w:pPr>
        <w:spacing w:line="360" w:lineRule="auto"/>
        <w:ind w:firstLine="480" w:firstLineChars="200"/>
        <w:jc w:val="both"/>
        <w:rPr>
          <w:rFonts w:asciiTheme="minorEastAsia" w:hAnsiTheme="minorEastAsia" w:eastAsiaTheme="minorEastAsia"/>
        </w:rPr>
      </w:pPr>
      <w:r>
        <w:rPr>
          <w:rFonts w:hint="eastAsia" w:asciiTheme="minorEastAsia" w:hAnsiTheme="minorEastAsia" w:eastAsiaTheme="minorEastAsia"/>
        </w:rPr>
        <w:t>（3）成交投标人未按规定交纳相关费用；</w:t>
      </w:r>
    </w:p>
    <w:p w14:paraId="1C06DEA4">
      <w:pPr>
        <w:spacing w:line="360" w:lineRule="auto"/>
        <w:ind w:firstLine="480" w:firstLineChars="200"/>
        <w:jc w:val="both"/>
        <w:rPr>
          <w:rFonts w:asciiTheme="minorEastAsia" w:hAnsiTheme="minorEastAsia" w:eastAsiaTheme="minorEastAsia"/>
        </w:rPr>
      </w:pPr>
      <w:r>
        <w:rPr>
          <w:rFonts w:hint="eastAsia" w:asciiTheme="minorEastAsia" w:hAnsiTheme="minorEastAsia" w:eastAsiaTheme="minorEastAsia"/>
        </w:rPr>
        <w:t>（4）法律、法规规定的其他情况。</w:t>
      </w:r>
    </w:p>
    <w:p w14:paraId="4E97EE2D">
      <w:pPr>
        <w:spacing w:line="360" w:lineRule="auto"/>
        <w:ind w:firstLine="480" w:firstLineChars="200"/>
        <w:jc w:val="both"/>
        <w:rPr>
          <w:rFonts w:asciiTheme="minorEastAsia" w:hAnsiTheme="minorEastAsia" w:eastAsiaTheme="minorEastAsia"/>
        </w:rPr>
      </w:pPr>
      <w:r>
        <w:rPr>
          <w:rFonts w:hint="eastAsia" w:asciiTheme="minorEastAsia" w:hAnsiTheme="minorEastAsia" w:eastAsiaTheme="minorEastAsia"/>
        </w:rPr>
        <w:t>6.1.3.3投标人有下列情况之一者，其报价无效，将取消其报价资格并负法律责任：</w:t>
      </w:r>
    </w:p>
    <w:p w14:paraId="359921D2">
      <w:pPr>
        <w:spacing w:line="360" w:lineRule="auto"/>
        <w:ind w:firstLine="480" w:firstLineChars="200"/>
        <w:jc w:val="both"/>
        <w:rPr>
          <w:rFonts w:asciiTheme="minorEastAsia" w:hAnsiTheme="minorEastAsia" w:eastAsiaTheme="minorEastAsia"/>
        </w:rPr>
      </w:pPr>
      <w:r>
        <w:rPr>
          <w:rFonts w:hint="eastAsia" w:asciiTheme="minorEastAsia" w:hAnsiTheme="minorEastAsia" w:eastAsiaTheme="minorEastAsia"/>
        </w:rPr>
        <w:t>（1）投标人提供的有关资格、资质证明文件不真实，提供虚假报价材料；</w:t>
      </w:r>
    </w:p>
    <w:p w14:paraId="4EB3373A">
      <w:pPr>
        <w:spacing w:line="360" w:lineRule="auto"/>
        <w:ind w:firstLine="480" w:firstLineChars="200"/>
        <w:jc w:val="both"/>
        <w:rPr>
          <w:rFonts w:asciiTheme="minorEastAsia" w:hAnsiTheme="minorEastAsia" w:eastAsiaTheme="minorEastAsia"/>
        </w:rPr>
      </w:pPr>
      <w:r>
        <w:rPr>
          <w:rFonts w:hint="eastAsia" w:asciiTheme="minorEastAsia" w:hAnsiTheme="minorEastAsia" w:eastAsiaTheme="minorEastAsia"/>
        </w:rPr>
        <w:t>（2）投标人在报价有效期内撤回报价；</w:t>
      </w:r>
    </w:p>
    <w:p w14:paraId="4C5A7FEA">
      <w:pPr>
        <w:spacing w:line="360" w:lineRule="auto"/>
        <w:ind w:firstLine="480" w:firstLineChars="200"/>
        <w:jc w:val="both"/>
        <w:rPr>
          <w:rFonts w:asciiTheme="minorEastAsia" w:hAnsiTheme="minorEastAsia" w:eastAsiaTheme="minorEastAsia"/>
        </w:rPr>
      </w:pPr>
      <w:r>
        <w:rPr>
          <w:rFonts w:hint="eastAsia" w:asciiTheme="minorEastAsia" w:hAnsiTheme="minorEastAsia" w:eastAsiaTheme="minorEastAsia"/>
        </w:rPr>
        <w:t>（3）在整个谈判过程中，投标人有企图影响谈判结果的任何不当活动；</w:t>
      </w:r>
    </w:p>
    <w:p w14:paraId="46EA17AA">
      <w:pPr>
        <w:spacing w:line="360" w:lineRule="auto"/>
        <w:ind w:firstLine="480" w:firstLineChars="200"/>
        <w:jc w:val="both"/>
        <w:rPr>
          <w:rFonts w:asciiTheme="minorEastAsia" w:hAnsiTheme="minorEastAsia" w:eastAsiaTheme="minorEastAsia"/>
        </w:rPr>
      </w:pPr>
      <w:r>
        <w:rPr>
          <w:rFonts w:hint="eastAsia" w:asciiTheme="minorEastAsia" w:hAnsiTheme="minorEastAsia" w:eastAsiaTheme="minorEastAsia"/>
        </w:rPr>
        <w:t>（4）投标人串通报价或采用不正当竞争方式；</w:t>
      </w:r>
    </w:p>
    <w:p w14:paraId="1D9A9E91">
      <w:pPr>
        <w:spacing w:line="360" w:lineRule="auto"/>
        <w:ind w:firstLine="480" w:firstLineChars="200"/>
        <w:jc w:val="both"/>
        <w:rPr>
          <w:rFonts w:asciiTheme="minorEastAsia" w:hAnsiTheme="minorEastAsia" w:eastAsiaTheme="minorEastAsia"/>
        </w:rPr>
      </w:pPr>
      <w:r>
        <w:rPr>
          <w:rFonts w:hint="eastAsia" w:asciiTheme="minorEastAsia" w:hAnsiTheme="minorEastAsia" w:eastAsiaTheme="minorEastAsia"/>
        </w:rPr>
        <w:t>（5）投标人以任何方式诋毁其他投标人；</w:t>
      </w:r>
    </w:p>
    <w:p w14:paraId="4FC1D0EE">
      <w:pPr>
        <w:spacing w:line="360" w:lineRule="auto"/>
        <w:ind w:firstLine="480" w:firstLineChars="200"/>
        <w:jc w:val="both"/>
        <w:rPr>
          <w:rFonts w:asciiTheme="minorEastAsia" w:hAnsiTheme="minorEastAsia" w:eastAsiaTheme="minorEastAsia"/>
        </w:rPr>
      </w:pPr>
      <w:r>
        <w:rPr>
          <w:rFonts w:hint="eastAsia" w:asciiTheme="minorEastAsia" w:hAnsiTheme="minorEastAsia" w:eastAsiaTheme="minorEastAsia"/>
        </w:rPr>
        <w:t>（6）法律、法规规定的其他情况。</w:t>
      </w:r>
    </w:p>
    <w:p w14:paraId="59791366">
      <w:pPr>
        <w:spacing w:line="360" w:lineRule="auto"/>
        <w:ind w:firstLine="480" w:firstLineChars="200"/>
        <w:jc w:val="both"/>
        <w:rPr>
          <w:rFonts w:asciiTheme="minorEastAsia" w:hAnsiTheme="minorEastAsia" w:eastAsiaTheme="minorEastAsia"/>
        </w:rPr>
      </w:pPr>
      <w:r>
        <w:rPr>
          <w:rFonts w:hint="eastAsia" w:asciiTheme="minorEastAsia" w:hAnsiTheme="minorEastAsia" w:eastAsiaTheme="minorEastAsia"/>
        </w:rPr>
        <w:t>投标人有上述行为之一的，采购人将严格依照有关法律、法规及规章的规定行使其权利。投标人给采购人造成损失的，采购人有索赔的权利，投标人应予以赔偿。</w:t>
      </w:r>
    </w:p>
    <w:p w14:paraId="14EA2133">
      <w:pPr>
        <w:spacing w:line="360" w:lineRule="auto"/>
        <w:ind w:firstLine="480" w:firstLineChars="200"/>
        <w:jc w:val="both"/>
        <w:rPr>
          <w:rFonts w:asciiTheme="minorEastAsia" w:hAnsiTheme="minorEastAsia" w:eastAsiaTheme="minorEastAsia"/>
        </w:rPr>
      </w:pPr>
      <w:r>
        <w:rPr>
          <w:rFonts w:hint="eastAsia" w:asciiTheme="minorEastAsia" w:hAnsiTheme="minorEastAsia" w:eastAsiaTheme="minorEastAsia"/>
        </w:rPr>
        <w:t>6.1.4响应文件计算错误的修正</w:t>
      </w:r>
    </w:p>
    <w:p w14:paraId="75085FA4">
      <w:pPr>
        <w:spacing w:line="360" w:lineRule="auto"/>
        <w:ind w:firstLine="480" w:firstLineChars="200"/>
        <w:jc w:val="both"/>
        <w:rPr>
          <w:rFonts w:asciiTheme="minorEastAsia" w:hAnsiTheme="minorEastAsia" w:eastAsiaTheme="minorEastAsia"/>
        </w:rPr>
      </w:pPr>
      <w:r>
        <w:rPr>
          <w:rFonts w:hint="eastAsia" w:asciiTheme="minorEastAsia" w:hAnsiTheme="minorEastAsia" w:eastAsiaTheme="minorEastAsia"/>
        </w:rPr>
        <w:t>6.1.4.1谈判小组将对确定为实质上响应竞争性谈判文件要求的响应文件进行校核，看其是否有计算或表达上的错误，修正错误的原则如下：</w:t>
      </w:r>
    </w:p>
    <w:p w14:paraId="5D4A06AB">
      <w:pPr>
        <w:spacing w:line="360" w:lineRule="auto"/>
        <w:ind w:firstLine="480" w:firstLineChars="200"/>
        <w:jc w:val="both"/>
        <w:rPr>
          <w:rFonts w:asciiTheme="minorEastAsia" w:hAnsiTheme="minorEastAsia" w:eastAsiaTheme="minorEastAsia"/>
        </w:rPr>
      </w:pPr>
      <w:r>
        <w:rPr>
          <w:rFonts w:hint="eastAsia" w:asciiTheme="minorEastAsia" w:hAnsiTheme="minorEastAsia" w:eastAsiaTheme="minorEastAsia"/>
        </w:rPr>
        <w:t>（1）如果数字表示的金额和用文字表示的金额不一致时，应以文字表示的金额为准；</w:t>
      </w:r>
    </w:p>
    <w:p w14:paraId="7BEEC421">
      <w:pPr>
        <w:spacing w:line="360" w:lineRule="auto"/>
        <w:ind w:firstLine="480" w:firstLineChars="200"/>
        <w:jc w:val="both"/>
        <w:rPr>
          <w:rFonts w:asciiTheme="minorEastAsia" w:hAnsiTheme="minorEastAsia" w:eastAsiaTheme="minorEastAsia"/>
        </w:rPr>
      </w:pPr>
      <w:r>
        <w:rPr>
          <w:rFonts w:hint="eastAsia" w:asciiTheme="minorEastAsia" w:hAnsiTheme="minorEastAsia" w:eastAsiaTheme="minorEastAsia"/>
        </w:rPr>
        <w:t>（2）当单价与数量的乘积与合价不一致时，以单价为准，除非谈判小组认为单价有明显的小数点错误，此时应以标出的合价为准，并修改单价。</w:t>
      </w:r>
    </w:p>
    <w:p w14:paraId="11E7296A">
      <w:pPr>
        <w:spacing w:line="360" w:lineRule="auto"/>
        <w:ind w:firstLine="480" w:firstLineChars="200"/>
        <w:jc w:val="both"/>
        <w:rPr>
          <w:rFonts w:asciiTheme="minorEastAsia" w:hAnsiTheme="minorEastAsia" w:eastAsiaTheme="minorEastAsia"/>
        </w:rPr>
      </w:pPr>
      <w:r>
        <w:rPr>
          <w:rFonts w:hint="eastAsia" w:asciiTheme="minorEastAsia" w:hAnsiTheme="minorEastAsia" w:eastAsiaTheme="minorEastAsia"/>
        </w:rPr>
        <w:t>6.1.4.2按上述修正错误的原则及方法调整或修正响应文件的报价，投标人同意后，调整后的报价对投标人起约束作用。如果投标人不接受修正后的报价，则其报价将被拒绝并且其报价保证金也将被没收，并不影响评审工作。</w:t>
      </w:r>
    </w:p>
    <w:p w14:paraId="6C2C920F">
      <w:pPr>
        <w:spacing w:line="360" w:lineRule="auto"/>
        <w:ind w:firstLine="480" w:firstLineChars="200"/>
        <w:jc w:val="both"/>
        <w:rPr>
          <w:rFonts w:asciiTheme="minorEastAsia" w:hAnsiTheme="minorEastAsia" w:eastAsiaTheme="minorEastAsia"/>
        </w:rPr>
      </w:pPr>
      <w:r>
        <w:rPr>
          <w:rFonts w:hint="eastAsia" w:asciiTheme="minorEastAsia" w:hAnsiTheme="minorEastAsia" w:eastAsiaTheme="minorEastAsia"/>
        </w:rPr>
        <w:t>6.1.5谈判</w:t>
      </w:r>
    </w:p>
    <w:p w14:paraId="04EC3F64">
      <w:pPr>
        <w:spacing w:line="360" w:lineRule="auto"/>
        <w:ind w:firstLine="480" w:firstLineChars="200"/>
        <w:jc w:val="both"/>
        <w:rPr>
          <w:rFonts w:asciiTheme="minorEastAsia" w:hAnsiTheme="minorEastAsia" w:eastAsiaTheme="minorEastAsia"/>
        </w:rPr>
      </w:pPr>
      <w:r>
        <w:rPr>
          <w:rFonts w:hint="eastAsia" w:asciiTheme="minorEastAsia" w:hAnsiTheme="minorEastAsia" w:eastAsiaTheme="minorEastAsia"/>
        </w:rPr>
        <w:t>在详细审阅各投标人的响应文件之后，谈判小组可根据各投标人响应文件编制情况组织谈判。投标人在接到采购代理机构的谈判通知后，应组织相关人员出席谈判。谈判时，由谈判小组提出问题，投标人应首先作出口头解答，然后形成书面文字，经授权代表签字后，在规定的时间内提交给谈判小组。</w:t>
      </w:r>
    </w:p>
    <w:p w14:paraId="76488F34">
      <w:pPr>
        <w:spacing w:line="360" w:lineRule="auto"/>
        <w:ind w:firstLine="480" w:firstLineChars="200"/>
        <w:jc w:val="both"/>
        <w:rPr>
          <w:rFonts w:asciiTheme="minorEastAsia" w:hAnsiTheme="minorEastAsia" w:eastAsiaTheme="minorEastAsia"/>
        </w:rPr>
      </w:pPr>
      <w:r>
        <w:rPr>
          <w:rFonts w:hint="eastAsia" w:asciiTheme="minorEastAsia" w:hAnsiTheme="minorEastAsia" w:eastAsiaTheme="minorEastAsia"/>
        </w:rPr>
        <w:t>6.1.6最终报价</w:t>
      </w:r>
    </w:p>
    <w:p w14:paraId="58AAC0B7">
      <w:pPr>
        <w:spacing w:line="360" w:lineRule="auto"/>
        <w:ind w:firstLine="480" w:firstLineChars="200"/>
        <w:jc w:val="both"/>
        <w:rPr>
          <w:rFonts w:asciiTheme="minorEastAsia" w:hAnsiTheme="minorEastAsia" w:eastAsiaTheme="minorEastAsia"/>
        </w:rPr>
      </w:pPr>
      <w:r>
        <w:rPr>
          <w:rFonts w:hint="eastAsia" w:asciiTheme="minorEastAsia" w:hAnsiTheme="minorEastAsia" w:eastAsiaTheme="minorEastAsia"/>
        </w:rPr>
        <w:t>谈判小组所有成员集中与单一投标人分别进行谈判，各投标人最终报价函必须经授权代表签字且按指定时间同时送达谈判小组，否则仍按原报价进行评审。</w:t>
      </w:r>
      <w:r>
        <w:rPr>
          <w:rFonts w:hint="eastAsia" w:asciiTheme="minorEastAsia" w:hAnsiTheme="minorEastAsia" w:eastAsiaTheme="minorEastAsia"/>
          <w:b/>
        </w:rPr>
        <w:t>多次报价中的优惠均有效，</w:t>
      </w:r>
      <w:r>
        <w:rPr>
          <w:rFonts w:hint="eastAsia" w:cs="Times New Roman" w:asciiTheme="minorEastAsia" w:hAnsiTheme="minorEastAsia" w:eastAsiaTheme="minorEastAsia"/>
        </w:rPr>
        <w:t>评审人员根据评分表内容对各个投标人进行打分，按照综合得分</w:t>
      </w:r>
      <w:r>
        <w:rPr>
          <w:rFonts w:hint="eastAsia" w:asciiTheme="minorEastAsia" w:hAnsiTheme="minorEastAsia" w:eastAsiaTheme="minorEastAsia"/>
        </w:rPr>
        <w:t>由高到低的顺序推荐2名成交候选人。</w:t>
      </w:r>
    </w:p>
    <w:p w14:paraId="29B00C04">
      <w:pPr>
        <w:spacing w:line="360" w:lineRule="auto"/>
        <w:ind w:firstLine="480" w:firstLineChars="200"/>
        <w:jc w:val="both"/>
        <w:rPr>
          <w:rFonts w:asciiTheme="minorEastAsia" w:hAnsiTheme="minorEastAsia" w:eastAsiaTheme="minorEastAsia"/>
        </w:rPr>
      </w:pPr>
      <w:r>
        <w:rPr>
          <w:rFonts w:hint="eastAsia" w:asciiTheme="minorEastAsia" w:hAnsiTheme="minorEastAsia" w:eastAsiaTheme="minorEastAsia"/>
        </w:rPr>
        <w:t>采购人从评审报告提出的成交候选人中，根据质量和服务均能满足谈判文件实质性响应要求且综合得分最高的原则确定成交投标人。</w:t>
      </w:r>
    </w:p>
    <w:p w14:paraId="61C9BFA1">
      <w:pPr>
        <w:spacing w:line="360" w:lineRule="auto"/>
        <w:ind w:firstLine="480" w:firstLineChars="200"/>
        <w:jc w:val="both"/>
        <w:rPr>
          <w:rFonts w:asciiTheme="minorEastAsia" w:hAnsiTheme="minorEastAsia" w:eastAsiaTheme="minorEastAsia"/>
        </w:rPr>
      </w:pPr>
      <w:r>
        <w:rPr>
          <w:rFonts w:hint="eastAsia" w:asciiTheme="minorEastAsia" w:hAnsiTheme="minorEastAsia" w:eastAsiaTheme="minorEastAsia"/>
        </w:rPr>
        <w:t>当确定的成交投标人放弃成交或者因不可抗力提出不能履行合同时，采购人有权将合同授予报价排名第二的成交(候选)投标人，或重新采购。</w:t>
      </w:r>
    </w:p>
    <w:p w14:paraId="13C97CF3">
      <w:pPr>
        <w:spacing w:line="360" w:lineRule="auto"/>
        <w:ind w:firstLine="480" w:firstLineChars="200"/>
        <w:jc w:val="both"/>
        <w:rPr>
          <w:rFonts w:asciiTheme="minorEastAsia" w:hAnsiTheme="minorEastAsia" w:eastAsiaTheme="minorEastAsia"/>
        </w:rPr>
      </w:pPr>
      <w:r>
        <w:rPr>
          <w:rFonts w:hint="eastAsia" w:asciiTheme="minorEastAsia" w:hAnsiTheme="minorEastAsia" w:eastAsiaTheme="minorEastAsia"/>
        </w:rPr>
        <w:t>6.2、谈判小组经评审，认为所有报价都不符合竞争性谈判文件的要求的，可以否决所有报价，采购人将依法重新组织采购。</w:t>
      </w:r>
    </w:p>
    <w:p w14:paraId="33CB3A9D">
      <w:pPr>
        <w:pStyle w:val="124"/>
        <w:spacing w:after="0"/>
        <w:ind w:left="0" w:firstLine="0"/>
        <w:outlineLvl w:val="2"/>
        <w:rPr>
          <w:rStyle w:val="133"/>
          <w:b w:val="0"/>
          <w:bCs w:val="0"/>
        </w:rPr>
      </w:pPr>
      <w:bookmarkStart w:id="112" w:name="_Toc218261905"/>
      <w:r>
        <w:rPr>
          <w:rStyle w:val="133"/>
          <w:b w:val="0"/>
          <w:bCs w:val="0"/>
        </w:rPr>
        <w:t>7.</w:t>
      </w:r>
      <w:r>
        <w:rPr>
          <w:rStyle w:val="133"/>
          <w:rFonts w:hint="eastAsia"/>
          <w:b w:val="0"/>
          <w:bCs w:val="0"/>
        </w:rPr>
        <w:t>合同授予</w:t>
      </w:r>
      <w:bookmarkEnd w:id="110"/>
      <w:bookmarkEnd w:id="111"/>
      <w:bookmarkEnd w:id="112"/>
    </w:p>
    <w:p w14:paraId="169465B1">
      <w:pPr>
        <w:pStyle w:val="126"/>
        <w:spacing w:after="0"/>
        <w:ind w:left="0" w:firstLine="482" w:firstLineChars="200"/>
        <w:outlineLvl w:val="9"/>
      </w:pPr>
      <w:bookmarkStart w:id="113" w:name="_Toc507936047"/>
      <w:bookmarkStart w:id="114" w:name="_Toc506105855"/>
      <w:bookmarkStart w:id="115" w:name="_Toc218261906"/>
      <w:r>
        <w:rPr>
          <w:rFonts w:hint="eastAsia"/>
        </w:rPr>
        <w:t>7.1成交方式</w:t>
      </w:r>
      <w:bookmarkEnd w:id="113"/>
      <w:bookmarkEnd w:id="114"/>
      <w:bookmarkEnd w:id="115"/>
    </w:p>
    <w:p w14:paraId="560DE3CF">
      <w:pPr>
        <w:spacing w:line="360" w:lineRule="auto"/>
        <w:ind w:firstLine="200"/>
        <w:jc w:val="both"/>
        <w:rPr>
          <w:rFonts w:ascii="宋体" w:hAnsi="宋体" w:cs="仿宋"/>
        </w:rPr>
      </w:pPr>
      <w:r>
        <w:rPr>
          <w:rFonts w:hint="eastAsia" w:ascii="宋体" w:hAnsi="宋体" w:cs="仿宋"/>
        </w:rPr>
        <w:t>采购人根据评审报告中推荐的成交人候选人择优选定成交人。</w:t>
      </w:r>
    </w:p>
    <w:p w14:paraId="6DE951FD">
      <w:pPr>
        <w:pStyle w:val="126"/>
        <w:spacing w:after="0"/>
        <w:ind w:left="0" w:firstLine="482" w:firstLineChars="200"/>
        <w:outlineLvl w:val="9"/>
        <w:rPr>
          <w:rFonts w:cs="Times New Roman"/>
        </w:rPr>
      </w:pPr>
      <w:bookmarkStart w:id="116" w:name="_Toc507936048"/>
      <w:bookmarkStart w:id="117" w:name="_Toc506105856"/>
      <w:bookmarkStart w:id="118" w:name="_Toc218261907"/>
      <w:r>
        <w:rPr>
          <w:rFonts w:hint="eastAsia"/>
        </w:rPr>
        <w:t>7.2成交通知</w:t>
      </w:r>
      <w:bookmarkEnd w:id="116"/>
      <w:bookmarkEnd w:id="117"/>
      <w:bookmarkEnd w:id="118"/>
    </w:p>
    <w:p w14:paraId="2AFB564A">
      <w:pPr>
        <w:spacing w:line="360" w:lineRule="auto"/>
        <w:ind w:firstLine="480" w:firstLineChars="200"/>
        <w:jc w:val="both"/>
        <w:rPr>
          <w:rFonts w:ascii="宋体" w:hAnsi="宋体" w:cs="仿宋"/>
        </w:rPr>
      </w:pPr>
      <w:bookmarkStart w:id="119" w:name="_Toc507936049"/>
      <w:bookmarkStart w:id="120" w:name="_Toc506105857"/>
      <w:r>
        <w:rPr>
          <w:rFonts w:hint="eastAsia" w:ascii="宋体" w:hAnsi="宋体" w:cs="仿宋"/>
        </w:rPr>
        <w:t>成交结果通过</w:t>
      </w:r>
      <w:r>
        <w:rPr>
          <w:rFonts w:hint="eastAsia" w:ascii="宋体" w:hAnsi="宋体"/>
        </w:rPr>
        <w:t>济钢集团有限公司阳光购销平台</w:t>
      </w:r>
      <w:r>
        <w:rPr>
          <w:rFonts w:hint="eastAsia" w:ascii="宋体" w:hAnsi="宋体" w:cs="仿宋"/>
        </w:rPr>
        <w:t>公示。公示期结束后，采购人以书面形式向成交人发出成交通知书</w:t>
      </w:r>
    </w:p>
    <w:p w14:paraId="072A26A2">
      <w:pPr>
        <w:pStyle w:val="126"/>
        <w:spacing w:after="0"/>
        <w:ind w:left="0" w:firstLine="482" w:firstLineChars="200"/>
        <w:outlineLvl w:val="9"/>
        <w:rPr>
          <w:rFonts w:cs="Times New Roman"/>
        </w:rPr>
      </w:pPr>
      <w:bookmarkStart w:id="121" w:name="_Toc218261908"/>
      <w:r>
        <w:rPr>
          <w:rFonts w:hint="eastAsia"/>
        </w:rPr>
        <w:t>7.3履约担保</w:t>
      </w:r>
      <w:bookmarkEnd w:id="119"/>
      <w:bookmarkEnd w:id="120"/>
      <w:bookmarkEnd w:id="121"/>
    </w:p>
    <w:p w14:paraId="7718CED8">
      <w:pPr>
        <w:spacing w:line="360" w:lineRule="auto"/>
        <w:ind w:firstLine="480" w:firstLineChars="200"/>
        <w:jc w:val="both"/>
        <w:rPr>
          <w:rFonts w:ascii="宋体" w:hAnsi="宋体" w:cs="仿宋"/>
        </w:rPr>
      </w:pPr>
      <w:r>
        <w:rPr>
          <w:rFonts w:hint="eastAsia" w:ascii="宋体" w:hAnsi="宋体" w:cs="仿宋"/>
        </w:rPr>
        <w:t>7.3.1 签订合同前，成交人应按谈判须知前附表规定向采购人提交履约担保。</w:t>
      </w:r>
    </w:p>
    <w:p w14:paraId="0DC424F1">
      <w:pPr>
        <w:spacing w:line="360" w:lineRule="auto"/>
        <w:ind w:firstLine="480" w:firstLineChars="200"/>
        <w:jc w:val="both"/>
        <w:rPr>
          <w:rFonts w:ascii="宋体" w:hAnsi="宋体" w:cs="仿宋"/>
          <w:bCs/>
        </w:rPr>
      </w:pPr>
      <w:r>
        <w:rPr>
          <w:rFonts w:hint="eastAsia" w:ascii="宋体" w:hAnsi="宋体" w:cs="仿宋"/>
          <w:bCs/>
        </w:rPr>
        <w:t xml:space="preserve">7.3.2 </w:t>
      </w:r>
      <w:r>
        <w:rPr>
          <w:rFonts w:hint="eastAsia" w:ascii="宋体" w:hAnsi="宋体" w:cs="仿宋"/>
        </w:rPr>
        <w:t>成交</w:t>
      </w:r>
      <w:r>
        <w:rPr>
          <w:rFonts w:hint="eastAsia" w:ascii="宋体" w:hAnsi="宋体" w:cs="仿宋"/>
          <w:bCs/>
        </w:rPr>
        <w:t>人不能按</w:t>
      </w:r>
      <w:r>
        <w:rPr>
          <w:rFonts w:hint="eastAsia" w:ascii="宋体" w:hAnsi="宋体" w:cs="仿宋"/>
        </w:rPr>
        <w:t>谈判邀请书规定</w:t>
      </w:r>
      <w:r>
        <w:rPr>
          <w:rFonts w:hint="eastAsia" w:ascii="宋体" w:hAnsi="宋体" w:cs="仿宋"/>
          <w:bCs/>
        </w:rPr>
        <w:t>要求提交履约担保的，视为放弃</w:t>
      </w:r>
      <w:r>
        <w:rPr>
          <w:rFonts w:hint="eastAsia" w:ascii="宋体" w:hAnsi="宋体" w:cs="仿宋"/>
        </w:rPr>
        <w:t>成交</w:t>
      </w:r>
      <w:r>
        <w:rPr>
          <w:rFonts w:hint="eastAsia" w:ascii="宋体" w:hAnsi="宋体" w:cs="仿宋"/>
          <w:bCs/>
        </w:rPr>
        <w:t>，其谈判保证金不予退还，给采购人造成的损失超过谈判保证金数额的，</w:t>
      </w:r>
      <w:r>
        <w:rPr>
          <w:rFonts w:hint="eastAsia" w:ascii="宋体" w:hAnsi="宋体" w:cs="仿宋"/>
        </w:rPr>
        <w:t>成交</w:t>
      </w:r>
      <w:r>
        <w:rPr>
          <w:rFonts w:hint="eastAsia" w:ascii="宋体" w:hAnsi="宋体" w:cs="仿宋"/>
          <w:bCs/>
        </w:rPr>
        <w:t>人还应当对超过部分予以赔偿。</w:t>
      </w:r>
    </w:p>
    <w:p w14:paraId="38C9D764">
      <w:pPr>
        <w:pStyle w:val="126"/>
        <w:spacing w:after="0"/>
        <w:ind w:left="0" w:firstLine="482" w:firstLineChars="200"/>
        <w:outlineLvl w:val="9"/>
        <w:rPr>
          <w:rFonts w:cs="Times New Roman"/>
        </w:rPr>
      </w:pPr>
      <w:bookmarkStart w:id="122" w:name="_Toc218261909"/>
      <w:r>
        <w:rPr>
          <w:rFonts w:hint="eastAsia"/>
        </w:rPr>
        <w:t>7.4签订合同</w:t>
      </w:r>
      <w:bookmarkEnd w:id="122"/>
    </w:p>
    <w:p w14:paraId="3258E6C1">
      <w:pPr>
        <w:spacing w:line="360" w:lineRule="auto"/>
        <w:ind w:firstLine="480" w:firstLineChars="200"/>
        <w:jc w:val="both"/>
        <w:rPr>
          <w:rFonts w:ascii="宋体" w:hAnsi="宋体" w:cs="仿宋"/>
        </w:rPr>
      </w:pPr>
      <w:r>
        <w:rPr>
          <w:rFonts w:hint="eastAsia" w:ascii="宋体" w:hAnsi="宋体" w:cs="仿宋"/>
        </w:rPr>
        <w:t>应当在成交通知书发出之日起7日内，根据谈判文件和投标人的响应文件订立书面合同。投标人无正当理由拒签合同，在签订合同时向采购人提出附加条件，或者不按照谈判文件要求提交履约保证金的，采购人有权取消其成交资格，其谈判保证金不予退还；给采购人造成的损失超过谈判保证金数额的，投标人还应当对超过部分予以赔偿。</w:t>
      </w:r>
    </w:p>
    <w:p w14:paraId="17994246">
      <w:pPr>
        <w:pStyle w:val="124"/>
        <w:spacing w:after="0"/>
        <w:ind w:left="0" w:firstLine="0"/>
        <w:outlineLvl w:val="2"/>
        <w:rPr>
          <w:rStyle w:val="133"/>
          <w:b w:val="0"/>
          <w:bCs w:val="0"/>
        </w:rPr>
      </w:pPr>
      <w:bookmarkStart w:id="123" w:name="_Toc507936051"/>
      <w:bookmarkStart w:id="124" w:name="_Toc506105859"/>
      <w:bookmarkStart w:id="125" w:name="_Toc218261910"/>
      <w:r>
        <w:rPr>
          <w:rStyle w:val="133"/>
          <w:b w:val="0"/>
          <w:bCs w:val="0"/>
        </w:rPr>
        <w:t>8.</w:t>
      </w:r>
      <w:r>
        <w:rPr>
          <w:rStyle w:val="133"/>
          <w:rFonts w:hint="eastAsia"/>
          <w:b w:val="0"/>
          <w:bCs w:val="0"/>
        </w:rPr>
        <w:t>重新</w:t>
      </w:r>
      <w:bookmarkEnd w:id="123"/>
      <w:bookmarkEnd w:id="124"/>
      <w:bookmarkStart w:id="126" w:name="_Toc506105860"/>
      <w:r>
        <w:rPr>
          <w:rStyle w:val="133"/>
          <w:rFonts w:hint="eastAsia"/>
          <w:b w:val="0"/>
          <w:bCs w:val="0"/>
        </w:rPr>
        <w:t>谈判</w:t>
      </w:r>
      <w:bookmarkEnd w:id="125"/>
    </w:p>
    <w:bookmarkEnd w:id="126"/>
    <w:p w14:paraId="6D9027D5">
      <w:pPr>
        <w:pStyle w:val="126"/>
        <w:spacing w:after="0"/>
        <w:ind w:left="0" w:firstLine="482" w:firstLineChars="200"/>
        <w:outlineLvl w:val="9"/>
      </w:pPr>
      <w:bookmarkStart w:id="127" w:name="_Toc507936052"/>
      <w:bookmarkStart w:id="128" w:name="_Toc218261911"/>
      <w:r>
        <w:rPr>
          <w:rFonts w:hint="eastAsia"/>
        </w:rPr>
        <w:t>8.1重新</w:t>
      </w:r>
      <w:bookmarkEnd w:id="127"/>
      <w:r>
        <w:rPr>
          <w:rFonts w:hint="eastAsia"/>
        </w:rPr>
        <w:t>谈判</w:t>
      </w:r>
      <w:bookmarkEnd w:id="128"/>
    </w:p>
    <w:p w14:paraId="4E54FD41">
      <w:pPr>
        <w:spacing w:line="360" w:lineRule="auto"/>
        <w:ind w:firstLine="480" w:firstLineChars="200"/>
        <w:jc w:val="both"/>
        <w:rPr>
          <w:rFonts w:cs="仿宋"/>
          <w:sz w:val="28"/>
          <w:szCs w:val="28"/>
        </w:rPr>
      </w:pPr>
      <w:r>
        <w:rPr>
          <w:rFonts w:hint="eastAsia" w:cs="仿宋"/>
        </w:rPr>
        <w:t>详见谈判须知前附表</w:t>
      </w:r>
    </w:p>
    <w:p w14:paraId="2D848F97">
      <w:pPr>
        <w:pStyle w:val="124"/>
        <w:spacing w:after="0"/>
        <w:ind w:left="0" w:firstLine="0"/>
        <w:outlineLvl w:val="2"/>
        <w:rPr>
          <w:rStyle w:val="133"/>
          <w:b w:val="0"/>
          <w:bCs w:val="0"/>
        </w:rPr>
      </w:pPr>
      <w:bookmarkStart w:id="129" w:name="_Toc269310962"/>
      <w:bookmarkStart w:id="130" w:name="_Toc152045574"/>
      <w:bookmarkStart w:id="131" w:name="_Toc218261912"/>
      <w:bookmarkStart w:id="132" w:name="_Toc144974542"/>
      <w:bookmarkStart w:id="133" w:name="_Toc507936053"/>
      <w:bookmarkStart w:id="134" w:name="_Toc446434333"/>
      <w:bookmarkStart w:id="135" w:name="_Toc312072272"/>
      <w:bookmarkStart w:id="136" w:name="_Toc152042350"/>
      <w:r>
        <w:rPr>
          <w:rStyle w:val="133"/>
          <w:b w:val="0"/>
          <w:bCs w:val="0"/>
        </w:rPr>
        <w:t>9.</w:t>
      </w:r>
      <w:r>
        <w:rPr>
          <w:rStyle w:val="133"/>
          <w:rFonts w:hint="eastAsia"/>
          <w:b w:val="0"/>
          <w:bCs w:val="0"/>
        </w:rPr>
        <w:t>纪律和监督</w:t>
      </w:r>
      <w:bookmarkEnd w:id="129"/>
      <w:bookmarkEnd w:id="130"/>
      <w:bookmarkEnd w:id="131"/>
      <w:bookmarkEnd w:id="132"/>
      <w:bookmarkEnd w:id="133"/>
      <w:bookmarkEnd w:id="134"/>
      <w:bookmarkEnd w:id="135"/>
      <w:bookmarkEnd w:id="136"/>
    </w:p>
    <w:p w14:paraId="518559B0">
      <w:pPr>
        <w:pStyle w:val="126"/>
        <w:spacing w:after="0"/>
        <w:ind w:left="0" w:firstLine="482" w:firstLineChars="200"/>
        <w:outlineLvl w:val="9"/>
      </w:pPr>
      <w:bookmarkStart w:id="137" w:name="_Toc507936054"/>
      <w:bookmarkStart w:id="138" w:name="_Toc218261913"/>
      <w:bookmarkStart w:id="139" w:name="_Toc446434339"/>
      <w:bookmarkStart w:id="140" w:name="_Toc152042357"/>
      <w:bookmarkStart w:id="141" w:name="_Toc507936059"/>
      <w:bookmarkStart w:id="142" w:name="_Toc144974547"/>
      <w:bookmarkStart w:id="143" w:name="_Toc152045580"/>
      <w:bookmarkStart w:id="144" w:name="_Toc312072278"/>
      <w:bookmarkStart w:id="145" w:name="_Toc269310968"/>
      <w:r>
        <w:rPr>
          <w:rFonts w:hint="eastAsia"/>
        </w:rPr>
        <w:t>9.1对采购人的纪律要求</w:t>
      </w:r>
      <w:bookmarkEnd w:id="137"/>
      <w:bookmarkEnd w:id="138"/>
    </w:p>
    <w:p w14:paraId="03CE99DF">
      <w:pPr>
        <w:spacing w:line="360" w:lineRule="auto"/>
        <w:ind w:firstLine="480" w:firstLineChars="200"/>
        <w:jc w:val="both"/>
      </w:pPr>
      <w:r>
        <w:rPr>
          <w:rFonts w:hint="eastAsia"/>
        </w:rPr>
        <w:t>采购人不得泄漏谈判活动中应当保密的情况和资料，不得与投标人串通损害国家利益、社会公共利益和他人合法权益。</w:t>
      </w:r>
    </w:p>
    <w:p w14:paraId="27F1A6D4">
      <w:pPr>
        <w:pStyle w:val="126"/>
        <w:spacing w:after="0"/>
        <w:ind w:left="0" w:firstLine="482" w:firstLineChars="200"/>
        <w:outlineLvl w:val="9"/>
      </w:pPr>
      <w:bookmarkStart w:id="146" w:name="_Toc218261914"/>
      <w:bookmarkStart w:id="147" w:name="_Toc507936055"/>
      <w:r>
        <w:rPr>
          <w:rFonts w:hint="eastAsia"/>
        </w:rPr>
        <w:t>9.2对投标人的纪律要求</w:t>
      </w:r>
      <w:bookmarkEnd w:id="146"/>
      <w:bookmarkEnd w:id="147"/>
    </w:p>
    <w:p w14:paraId="7C99C9EF">
      <w:pPr>
        <w:spacing w:line="360" w:lineRule="auto"/>
        <w:ind w:firstLine="480" w:firstLineChars="200"/>
        <w:jc w:val="both"/>
      </w:pPr>
      <w:r>
        <w:rPr>
          <w:rFonts w:hint="eastAsia"/>
        </w:rPr>
        <w:t>投标人不得相互串通或者与采购人串通，不得向采购人或者评审委员会成员行贿谋取</w:t>
      </w:r>
      <w:r>
        <w:rPr>
          <w:rFonts w:hint="eastAsia" w:cs="仿宋"/>
        </w:rPr>
        <w:t>成交</w:t>
      </w:r>
      <w:r>
        <w:rPr>
          <w:rFonts w:hint="eastAsia"/>
        </w:rPr>
        <w:t>，不得以他人名义参加谈判或者以其他方式弄虚作假骗取</w:t>
      </w:r>
      <w:r>
        <w:rPr>
          <w:rFonts w:hint="eastAsia" w:cs="仿宋"/>
        </w:rPr>
        <w:t>成交</w:t>
      </w:r>
      <w:r>
        <w:rPr>
          <w:rFonts w:hint="eastAsia"/>
        </w:rPr>
        <w:t>；投标人不得以任何方式干扰、影响评审工作。</w:t>
      </w:r>
    </w:p>
    <w:p w14:paraId="32E4DB7F">
      <w:pPr>
        <w:pStyle w:val="126"/>
        <w:spacing w:after="0"/>
        <w:ind w:left="0" w:firstLine="482" w:firstLineChars="200"/>
        <w:outlineLvl w:val="9"/>
      </w:pPr>
      <w:bookmarkStart w:id="148" w:name="_Toc446434336"/>
      <w:bookmarkStart w:id="149" w:name="_Toc218261915"/>
      <w:bookmarkStart w:id="150" w:name="_Toc507936056"/>
      <w:bookmarkStart w:id="151" w:name="_Toc312072275"/>
      <w:r>
        <w:rPr>
          <w:rFonts w:hint="eastAsia"/>
        </w:rPr>
        <w:t>9.3 对评审委员会成员的纪律要求</w:t>
      </w:r>
      <w:bookmarkEnd w:id="148"/>
      <w:bookmarkEnd w:id="149"/>
      <w:bookmarkEnd w:id="150"/>
      <w:bookmarkEnd w:id="151"/>
    </w:p>
    <w:p w14:paraId="10C572C7">
      <w:pPr>
        <w:spacing w:line="360" w:lineRule="auto"/>
        <w:ind w:firstLine="480" w:firstLineChars="200"/>
        <w:jc w:val="both"/>
      </w:pPr>
      <w:r>
        <w:rPr>
          <w:rFonts w:hint="eastAsia"/>
        </w:rPr>
        <w:t>评审委员会成员不得收受他人的财物或者其他好处，不得向他人透漏对响应文件的评审和比较、成交候选人的推荐情况以及与评审有关的其他情况。在评审活动中，评审委员会成员不得擅离职守，影响评审程序正常进行，不得使用第三章“评审办法”没有规定的评审因素和标准进行评审。</w:t>
      </w:r>
    </w:p>
    <w:p w14:paraId="01D0F564">
      <w:pPr>
        <w:pStyle w:val="126"/>
        <w:spacing w:after="0"/>
        <w:ind w:left="0" w:firstLine="482" w:firstLineChars="200"/>
        <w:outlineLvl w:val="9"/>
      </w:pPr>
      <w:bookmarkStart w:id="152" w:name="_Toc507936057"/>
      <w:bookmarkStart w:id="153" w:name="_Toc446434337"/>
      <w:bookmarkStart w:id="154" w:name="_Toc312072276"/>
      <w:bookmarkStart w:id="155" w:name="_Toc218261916"/>
      <w:r>
        <w:rPr>
          <w:rFonts w:hint="eastAsia"/>
        </w:rPr>
        <w:t>9.4 对与评审活动有关的工作人员的纪律要求</w:t>
      </w:r>
      <w:bookmarkEnd w:id="152"/>
      <w:bookmarkEnd w:id="153"/>
      <w:bookmarkEnd w:id="154"/>
      <w:bookmarkEnd w:id="155"/>
    </w:p>
    <w:p w14:paraId="4862C08A">
      <w:pPr>
        <w:spacing w:line="360" w:lineRule="auto"/>
        <w:ind w:firstLine="480" w:firstLineChars="200"/>
        <w:jc w:val="both"/>
      </w:pPr>
      <w:r>
        <w:rPr>
          <w:rFonts w:hint="eastAsia"/>
        </w:rPr>
        <w:t>与评审活动有关的工作人员不得收受他人的财物或者其他好处，不得向他人透漏对响应文件的评审和比较、</w:t>
      </w:r>
      <w:r>
        <w:rPr>
          <w:rFonts w:hint="eastAsia" w:cs="仿宋"/>
        </w:rPr>
        <w:t>成交</w:t>
      </w:r>
      <w:r>
        <w:rPr>
          <w:rFonts w:hint="eastAsia"/>
        </w:rPr>
        <w:t>候选人的推荐情况以及与评审有关的其他情况。在评审活动中，与评审活动有关的工作人员不得擅离职守，影响评审程序正常进行。</w:t>
      </w:r>
    </w:p>
    <w:p w14:paraId="0F81455B">
      <w:pPr>
        <w:pStyle w:val="126"/>
        <w:spacing w:after="0"/>
        <w:ind w:left="0" w:firstLine="482" w:firstLineChars="200"/>
        <w:outlineLvl w:val="9"/>
      </w:pPr>
      <w:bookmarkStart w:id="156" w:name="_Toc507936058"/>
      <w:bookmarkStart w:id="157" w:name="_Toc446434338"/>
      <w:bookmarkStart w:id="158" w:name="_Toc218261917"/>
      <w:bookmarkStart w:id="159" w:name="_Toc312072277"/>
      <w:r>
        <w:rPr>
          <w:rFonts w:hint="eastAsia"/>
        </w:rPr>
        <w:t>9.5 投诉</w:t>
      </w:r>
      <w:bookmarkEnd w:id="156"/>
      <w:bookmarkEnd w:id="157"/>
      <w:bookmarkEnd w:id="158"/>
      <w:bookmarkEnd w:id="159"/>
    </w:p>
    <w:p w14:paraId="6D4E68A8">
      <w:pPr>
        <w:spacing w:line="360" w:lineRule="auto"/>
        <w:ind w:firstLine="480" w:firstLineChars="200"/>
        <w:jc w:val="both"/>
      </w:pPr>
      <w:r>
        <w:rPr>
          <w:rFonts w:hint="eastAsia"/>
        </w:rPr>
        <w:t>投标人和其他利害关系人认为本次谈判活动违反法律、法规和规章规定的，有权向市建设行政主管部门和相关监督部门投诉。</w:t>
      </w:r>
    </w:p>
    <w:p w14:paraId="7411E280">
      <w:pPr>
        <w:pStyle w:val="124"/>
        <w:keepNext/>
        <w:spacing w:after="0"/>
        <w:ind w:left="0" w:firstLine="0"/>
        <w:outlineLvl w:val="2"/>
        <w:rPr>
          <w:rStyle w:val="133"/>
          <w:b w:val="0"/>
          <w:bCs w:val="0"/>
        </w:rPr>
      </w:pPr>
      <w:bookmarkStart w:id="160" w:name="_Toc218261918"/>
      <w:r>
        <w:rPr>
          <w:rStyle w:val="133"/>
          <w:b w:val="0"/>
          <w:bCs w:val="0"/>
        </w:rPr>
        <w:t xml:space="preserve">10. </w:t>
      </w:r>
      <w:r>
        <w:rPr>
          <w:rStyle w:val="133"/>
          <w:rFonts w:hint="eastAsia"/>
          <w:b w:val="0"/>
          <w:bCs w:val="0"/>
        </w:rPr>
        <w:t>需要补充的其他内容</w:t>
      </w:r>
      <w:bookmarkEnd w:id="139"/>
      <w:bookmarkEnd w:id="140"/>
      <w:bookmarkEnd w:id="141"/>
      <w:bookmarkEnd w:id="142"/>
      <w:bookmarkEnd w:id="143"/>
      <w:bookmarkEnd w:id="144"/>
      <w:bookmarkEnd w:id="145"/>
      <w:bookmarkEnd w:id="160"/>
    </w:p>
    <w:p w14:paraId="6D2B30DF">
      <w:pPr>
        <w:pStyle w:val="126"/>
        <w:spacing w:after="0"/>
        <w:ind w:left="0" w:firstLine="480" w:firstLineChars="200"/>
        <w:outlineLvl w:val="9"/>
        <w:rPr>
          <w:rFonts w:cs="仿宋" w:asciiTheme="minorEastAsia" w:hAnsiTheme="minorEastAsia" w:eastAsiaTheme="minorEastAsia"/>
          <w:color w:val="000000"/>
        </w:rPr>
      </w:pPr>
      <w:bookmarkStart w:id="161" w:name="_Toc218261919"/>
      <w:r>
        <w:rPr>
          <w:rFonts w:asciiTheme="minorEastAsia" w:hAnsiTheme="minorEastAsia" w:eastAsiaTheme="minorEastAsia"/>
          <w:b w:val="0"/>
          <w:bCs w:val="0"/>
        </w:rPr>
        <w:t xml:space="preserve">10. </w:t>
      </w:r>
      <w:r>
        <w:rPr>
          <w:rFonts w:hint="eastAsia" w:asciiTheme="minorEastAsia" w:hAnsiTheme="minorEastAsia" w:eastAsiaTheme="minorEastAsia"/>
          <w:b w:val="0"/>
          <w:bCs w:val="0"/>
        </w:rPr>
        <w:t>需要补充的其他内容</w:t>
      </w:r>
      <w:bookmarkEnd w:id="161"/>
    </w:p>
    <w:p w14:paraId="2CFEDC44">
      <w:pPr>
        <w:pStyle w:val="119"/>
        <w:widowControl/>
        <w:spacing w:beforeLines="0"/>
        <w:ind w:firstLine="480" w:firstLineChars="200"/>
        <w:jc w:val="both"/>
        <w:outlineLvl w:val="9"/>
        <w:rPr>
          <w:rFonts w:cs="仿宋" w:asciiTheme="minorEastAsia" w:hAnsiTheme="minorEastAsia" w:eastAsiaTheme="minorEastAsia"/>
          <w:b w:val="0"/>
          <w:bCs/>
          <w:color w:val="000000"/>
          <w:kern w:val="0"/>
          <w:sz w:val="24"/>
          <w:szCs w:val="24"/>
        </w:rPr>
      </w:pPr>
      <w:bookmarkStart w:id="162" w:name="_Toc218261920"/>
      <w:bookmarkStart w:id="163" w:name="_Toc26208"/>
      <w:bookmarkStart w:id="164" w:name="_Toc22935"/>
      <w:r>
        <w:rPr>
          <w:rFonts w:hint="eastAsia" w:cs="仿宋" w:asciiTheme="minorEastAsia" w:hAnsiTheme="minorEastAsia" w:eastAsiaTheme="minorEastAsia"/>
          <w:b w:val="0"/>
          <w:bCs/>
          <w:color w:val="000000"/>
          <w:kern w:val="0"/>
          <w:sz w:val="24"/>
          <w:szCs w:val="24"/>
        </w:rPr>
        <w:t>附：否决响应条件</w:t>
      </w:r>
      <w:bookmarkEnd w:id="162"/>
      <w:bookmarkEnd w:id="163"/>
      <w:bookmarkEnd w:id="164"/>
    </w:p>
    <w:p w14:paraId="4854DCEB">
      <w:pPr>
        <w:pStyle w:val="119"/>
        <w:widowControl/>
        <w:spacing w:beforeLines="0"/>
        <w:ind w:firstLine="480" w:firstLineChars="200"/>
        <w:jc w:val="both"/>
        <w:outlineLvl w:val="9"/>
        <w:rPr>
          <w:rFonts w:cs="仿宋" w:asciiTheme="minorEastAsia" w:hAnsiTheme="minorEastAsia" w:eastAsiaTheme="minorEastAsia"/>
          <w:b w:val="0"/>
          <w:bCs/>
          <w:color w:val="000000"/>
          <w:kern w:val="0"/>
          <w:sz w:val="24"/>
          <w:szCs w:val="24"/>
        </w:rPr>
      </w:pPr>
      <w:bookmarkStart w:id="165" w:name="_Toc26414"/>
      <w:bookmarkStart w:id="166" w:name="_Toc218261921"/>
      <w:bookmarkStart w:id="167" w:name="_Toc32256"/>
      <w:r>
        <w:rPr>
          <w:rFonts w:hint="eastAsia" w:cs="仿宋" w:asciiTheme="minorEastAsia" w:hAnsiTheme="minorEastAsia" w:eastAsiaTheme="minorEastAsia"/>
          <w:b w:val="0"/>
          <w:bCs/>
          <w:color w:val="000000"/>
          <w:kern w:val="0"/>
          <w:sz w:val="24"/>
          <w:szCs w:val="24"/>
        </w:rPr>
        <w:t>B0.总则</w:t>
      </w:r>
      <w:bookmarkEnd w:id="165"/>
      <w:bookmarkEnd w:id="166"/>
      <w:bookmarkEnd w:id="167"/>
    </w:p>
    <w:p w14:paraId="7AABF065">
      <w:pPr>
        <w:pStyle w:val="119"/>
        <w:widowControl/>
        <w:spacing w:beforeLines="0"/>
        <w:ind w:firstLine="480" w:firstLineChars="200"/>
        <w:jc w:val="both"/>
        <w:outlineLvl w:val="9"/>
        <w:rPr>
          <w:rFonts w:cs="仿宋" w:asciiTheme="minorEastAsia" w:hAnsiTheme="minorEastAsia" w:eastAsiaTheme="minorEastAsia"/>
          <w:b w:val="0"/>
          <w:bCs/>
          <w:color w:val="000000"/>
          <w:kern w:val="0"/>
          <w:sz w:val="24"/>
          <w:szCs w:val="24"/>
        </w:rPr>
      </w:pPr>
      <w:bookmarkStart w:id="168" w:name="_Toc218261922"/>
      <w:bookmarkStart w:id="169" w:name="_Toc20459"/>
      <w:bookmarkStart w:id="170" w:name="_Toc6469"/>
      <w:r>
        <w:rPr>
          <w:rFonts w:hint="eastAsia" w:cs="仿宋" w:asciiTheme="minorEastAsia" w:hAnsiTheme="minorEastAsia" w:eastAsiaTheme="minorEastAsia"/>
          <w:b w:val="0"/>
          <w:bCs/>
          <w:color w:val="000000"/>
          <w:kern w:val="0"/>
          <w:sz w:val="24"/>
          <w:szCs w:val="24"/>
        </w:rPr>
        <w:t>本附件所集中列示的否决响应条件，是本章“评审办法”的组成部分，是对第二章“谈判须知”和本章正文部分所规定的否决响应条件的总结和补充。</w:t>
      </w:r>
      <w:bookmarkEnd w:id="168"/>
      <w:bookmarkEnd w:id="169"/>
      <w:bookmarkEnd w:id="170"/>
    </w:p>
    <w:p w14:paraId="31324868">
      <w:pPr>
        <w:pStyle w:val="119"/>
        <w:widowControl/>
        <w:spacing w:beforeLines="0"/>
        <w:ind w:firstLine="480" w:firstLineChars="200"/>
        <w:jc w:val="both"/>
        <w:outlineLvl w:val="9"/>
        <w:rPr>
          <w:rFonts w:cs="仿宋" w:asciiTheme="minorEastAsia" w:hAnsiTheme="minorEastAsia" w:eastAsiaTheme="minorEastAsia"/>
          <w:b w:val="0"/>
          <w:bCs/>
          <w:color w:val="000000"/>
          <w:kern w:val="0"/>
          <w:sz w:val="24"/>
          <w:szCs w:val="24"/>
        </w:rPr>
      </w:pPr>
      <w:bookmarkStart w:id="171" w:name="_Toc249"/>
      <w:bookmarkStart w:id="172" w:name="_Toc218261923"/>
      <w:bookmarkStart w:id="173" w:name="_Toc11807"/>
      <w:r>
        <w:rPr>
          <w:rFonts w:hint="eastAsia" w:cs="仿宋" w:asciiTheme="minorEastAsia" w:hAnsiTheme="minorEastAsia" w:eastAsiaTheme="minorEastAsia"/>
          <w:b w:val="0"/>
          <w:bCs/>
          <w:color w:val="000000"/>
          <w:kern w:val="0"/>
          <w:sz w:val="24"/>
          <w:szCs w:val="24"/>
        </w:rPr>
        <w:t>B1.否决响应条件</w:t>
      </w:r>
      <w:bookmarkEnd w:id="171"/>
      <w:bookmarkEnd w:id="172"/>
      <w:bookmarkEnd w:id="173"/>
      <w:r>
        <w:rPr>
          <w:rFonts w:hint="eastAsia" w:cs="仿宋" w:asciiTheme="minorEastAsia" w:hAnsiTheme="minorEastAsia" w:eastAsiaTheme="minorEastAsia"/>
          <w:b w:val="0"/>
          <w:bCs/>
          <w:color w:val="000000"/>
          <w:kern w:val="0"/>
          <w:sz w:val="24"/>
          <w:szCs w:val="24"/>
        </w:rPr>
        <w:t xml:space="preserve"> </w:t>
      </w:r>
    </w:p>
    <w:p w14:paraId="71107F0B">
      <w:pPr>
        <w:pStyle w:val="119"/>
        <w:widowControl/>
        <w:spacing w:beforeLines="0"/>
        <w:ind w:firstLine="480" w:firstLineChars="200"/>
        <w:jc w:val="both"/>
        <w:outlineLvl w:val="9"/>
        <w:rPr>
          <w:rFonts w:cs="仿宋" w:asciiTheme="minorEastAsia" w:hAnsiTheme="minorEastAsia" w:eastAsiaTheme="minorEastAsia"/>
          <w:b w:val="0"/>
          <w:bCs/>
          <w:color w:val="000000"/>
          <w:kern w:val="0"/>
          <w:sz w:val="24"/>
          <w:szCs w:val="24"/>
        </w:rPr>
      </w:pPr>
      <w:bookmarkStart w:id="174" w:name="_Toc31525"/>
      <w:bookmarkStart w:id="175" w:name="_Toc26061"/>
      <w:bookmarkStart w:id="176" w:name="_Toc218261924"/>
      <w:r>
        <w:rPr>
          <w:rFonts w:hint="eastAsia" w:cs="仿宋" w:asciiTheme="minorEastAsia" w:hAnsiTheme="minorEastAsia" w:eastAsiaTheme="minorEastAsia"/>
          <w:b w:val="0"/>
          <w:bCs/>
          <w:color w:val="000000"/>
          <w:kern w:val="0"/>
          <w:sz w:val="24"/>
          <w:szCs w:val="24"/>
        </w:rPr>
        <w:t>投标人或其响应文件有下列情形之一的，否决其响应资格：</w:t>
      </w:r>
      <w:bookmarkEnd w:id="174"/>
      <w:bookmarkEnd w:id="175"/>
      <w:bookmarkEnd w:id="176"/>
    </w:p>
    <w:p w14:paraId="20E6AADB">
      <w:pPr>
        <w:pStyle w:val="119"/>
        <w:widowControl/>
        <w:spacing w:beforeLines="0"/>
        <w:ind w:firstLine="480" w:firstLineChars="200"/>
        <w:jc w:val="both"/>
        <w:outlineLvl w:val="9"/>
        <w:rPr>
          <w:rFonts w:cs="仿宋" w:asciiTheme="minorEastAsia" w:hAnsiTheme="minorEastAsia" w:eastAsiaTheme="minorEastAsia"/>
          <w:b w:val="0"/>
          <w:bCs/>
          <w:color w:val="000000"/>
          <w:kern w:val="0"/>
          <w:sz w:val="24"/>
          <w:szCs w:val="24"/>
        </w:rPr>
      </w:pPr>
      <w:bookmarkStart w:id="177" w:name="_Toc218261925"/>
      <w:bookmarkStart w:id="178" w:name="_Toc2691"/>
      <w:bookmarkStart w:id="179" w:name="_Toc18948"/>
      <w:r>
        <w:rPr>
          <w:rFonts w:hint="eastAsia" w:cs="仿宋" w:asciiTheme="minorEastAsia" w:hAnsiTheme="minorEastAsia" w:eastAsiaTheme="minorEastAsia"/>
          <w:b w:val="0"/>
          <w:bCs/>
          <w:color w:val="000000"/>
          <w:kern w:val="0"/>
          <w:sz w:val="24"/>
          <w:szCs w:val="24"/>
        </w:rPr>
        <w:t>B1.1有第二章“谈判须知”规定的任何一种情形的。</w:t>
      </w:r>
      <w:bookmarkEnd w:id="177"/>
      <w:bookmarkEnd w:id="178"/>
      <w:bookmarkEnd w:id="179"/>
    </w:p>
    <w:p w14:paraId="4C354FBA">
      <w:pPr>
        <w:pStyle w:val="119"/>
        <w:widowControl/>
        <w:spacing w:beforeLines="0"/>
        <w:ind w:firstLine="480" w:firstLineChars="200"/>
        <w:jc w:val="both"/>
        <w:outlineLvl w:val="9"/>
        <w:rPr>
          <w:rFonts w:cs="仿宋" w:asciiTheme="minorEastAsia" w:hAnsiTheme="minorEastAsia" w:eastAsiaTheme="minorEastAsia"/>
          <w:b w:val="0"/>
          <w:bCs/>
          <w:color w:val="000000"/>
          <w:kern w:val="0"/>
          <w:sz w:val="24"/>
          <w:szCs w:val="24"/>
        </w:rPr>
      </w:pPr>
      <w:bookmarkStart w:id="180" w:name="_Toc28035"/>
      <w:bookmarkStart w:id="181" w:name="_Toc218261926"/>
      <w:bookmarkStart w:id="182" w:name="_Toc13623"/>
      <w:r>
        <w:rPr>
          <w:rFonts w:hint="eastAsia" w:cs="仿宋" w:asciiTheme="minorEastAsia" w:hAnsiTheme="minorEastAsia" w:eastAsiaTheme="minorEastAsia"/>
          <w:b w:val="0"/>
          <w:bCs/>
          <w:color w:val="000000"/>
          <w:kern w:val="0"/>
          <w:sz w:val="24"/>
          <w:szCs w:val="24"/>
        </w:rPr>
        <w:t>B1.2 有串通投标或弄虚作假或其他违法行为的，详见下款：</w:t>
      </w:r>
      <w:bookmarkEnd w:id="180"/>
      <w:bookmarkEnd w:id="181"/>
      <w:bookmarkEnd w:id="182"/>
    </w:p>
    <w:p w14:paraId="344066F1">
      <w:pPr>
        <w:pStyle w:val="119"/>
        <w:widowControl/>
        <w:spacing w:beforeLines="0"/>
        <w:ind w:firstLine="480" w:firstLineChars="200"/>
        <w:jc w:val="both"/>
        <w:outlineLvl w:val="9"/>
        <w:rPr>
          <w:rFonts w:cs="仿宋" w:asciiTheme="minorEastAsia" w:hAnsiTheme="minorEastAsia" w:eastAsiaTheme="minorEastAsia"/>
          <w:b w:val="0"/>
          <w:bCs/>
          <w:color w:val="000000"/>
          <w:kern w:val="0"/>
          <w:sz w:val="24"/>
          <w:szCs w:val="24"/>
        </w:rPr>
      </w:pPr>
      <w:bookmarkStart w:id="183" w:name="_Toc218261927"/>
      <w:bookmarkStart w:id="184" w:name="_Toc29673"/>
      <w:bookmarkStart w:id="185" w:name="_Toc31820"/>
      <w:r>
        <w:rPr>
          <w:rFonts w:hint="eastAsia" w:cs="仿宋" w:asciiTheme="minorEastAsia" w:hAnsiTheme="minorEastAsia" w:eastAsiaTheme="minorEastAsia"/>
          <w:b w:val="0"/>
          <w:bCs/>
          <w:color w:val="000000"/>
          <w:kern w:val="0"/>
          <w:sz w:val="24"/>
          <w:szCs w:val="24"/>
        </w:rPr>
        <w:t>B1.2.1投标人之间协商谈判报价等响应文件的实质性内容；</w:t>
      </w:r>
      <w:bookmarkEnd w:id="183"/>
      <w:bookmarkEnd w:id="184"/>
      <w:bookmarkEnd w:id="185"/>
    </w:p>
    <w:p w14:paraId="25B9F342">
      <w:pPr>
        <w:pStyle w:val="119"/>
        <w:widowControl/>
        <w:spacing w:beforeLines="0"/>
        <w:ind w:firstLine="480" w:firstLineChars="200"/>
        <w:jc w:val="both"/>
        <w:outlineLvl w:val="9"/>
        <w:rPr>
          <w:rFonts w:cs="仿宋" w:asciiTheme="minorEastAsia" w:hAnsiTheme="minorEastAsia" w:eastAsiaTheme="minorEastAsia"/>
          <w:b w:val="0"/>
          <w:bCs/>
          <w:color w:val="000000"/>
          <w:kern w:val="0"/>
          <w:sz w:val="24"/>
          <w:szCs w:val="24"/>
        </w:rPr>
      </w:pPr>
      <w:bookmarkStart w:id="186" w:name="_Toc23669"/>
      <w:bookmarkStart w:id="187" w:name="_Toc218261928"/>
      <w:bookmarkStart w:id="188" w:name="_Toc27255"/>
      <w:r>
        <w:rPr>
          <w:rFonts w:hint="eastAsia" w:cs="仿宋" w:asciiTheme="minorEastAsia" w:hAnsiTheme="minorEastAsia" w:eastAsiaTheme="minorEastAsia"/>
          <w:b w:val="0"/>
          <w:bCs/>
          <w:color w:val="000000"/>
          <w:kern w:val="0"/>
          <w:sz w:val="24"/>
          <w:szCs w:val="24"/>
        </w:rPr>
        <w:t>B1.2.2投标人之间约定成交人；</w:t>
      </w:r>
      <w:bookmarkEnd w:id="186"/>
      <w:bookmarkEnd w:id="187"/>
      <w:bookmarkEnd w:id="188"/>
    </w:p>
    <w:p w14:paraId="69B5FE4B">
      <w:pPr>
        <w:pStyle w:val="119"/>
        <w:widowControl/>
        <w:spacing w:beforeLines="0"/>
        <w:ind w:firstLine="480" w:firstLineChars="200"/>
        <w:jc w:val="both"/>
        <w:outlineLvl w:val="9"/>
        <w:rPr>
          <w:rFonts w:cs="仿宋" w:asciiTheme="minorEastAsia" w:hAnsiTheme="minorEastAsia" w:eastAsiaTheme="minorEastAsia"/>
          <w:b w:val="0"/>
          <w:bCs/>
          <w:color w:val="000000"/>
          <w:kern w:val="0"/>
          <w:sz w:val="24"/>
          <w:szCs w:val="24"/>
        </w:rPr>
      </w:pPr>
      <w:bookmarkStart w:id="189" w:name="_Toc28015"/>
      <w:bookmarkStart w:id="190" w:name="_Toc25019"/>
      <w:bookmarkStart w:id="191" w:name="_Toc218261929"/>
      <w:r>
        <w:rPr>
          <w:rFonts w:hint="eastAsia" w:cs="仿宋" w:asciiTheme="minorEastAsia" w:hAnsiTheme="minorEastAsia" w:eastAsiaTheme="minorEastAsia"/>
          <w:b w:val="0"/>
          <w:bCs/>
          <w:color w:val="000000"/>
          <w:kern w:val="0"/>
          <w:sz w:val="24"/>
          <w:szCs w:val="24"/>
        </w:rPr>
        <w:t>B1.2.3投标人之间约定部分投标人放弃响应或者成交；</w:t>
      </w:r>
      <w:bookmarkEnd w:id="189"/>
      <w:bookmarkEnd w:id="190"/>
      <w:bookmarkEnd w:id="191"/>
    </w:p>
    <w:p w14:paraId="05E982DA">
      <w:pPr>
        <w:pStyle w:val="119"/>
        <w:widowControl/>
        <w:spacing w:beforeLines="0"/>
        <w:ind w:firstLine="480" w:firstLineChars="200"/>
        <w:jc w:val="both"/>
        <w:outlineLvl w:val="9"/>
        <w:rPr>
          <w:rFonts w:cs="仿宋" w:asciiTheme="minorEastAsia" w:hAnsiTheme="minorEastAsia" w:eastAsiaTheme="minorEastAsia"/>
          <w:b w:val="0"/>
          <w:bCs/>
          <w:color w:val="000000"/>
          <w:kern w:val="0"/>
          <w:sz w:val="24"/>
          <w:szCs w:val="24"/>
        </w:rPr>
      </w:pPr>
      <w:bookmarkStart w:id="192" w:name="_Toc28945"/>
      <w:bookmarkStart w:id="193" w:name="_Toc218261930"/>
      <w:bookmarkStart w:id="194" w:name="_Toc17042"/>
      <w:r>
        <w:rPr>
          <w:rFonts w:hint="eastAsia" w:cs="仿宋" w:asciiTheme="minorEastAsia" w:hAnsiTheme="minorEastAsia" w:eastAsiaTheme="minorEastAsia"/>
          <w:b w:val="0"/>
          <w:bCs/>
          <w:color w:val="000000"/>
          <w:kern w:val="0"/>
          <w:sz w:val="24"/>
          <w:szCs w:val="24"/>
        </w:rPr>
        <w:t>B1.2.4属于同一集团、协会、商会等组织成员的投标人按照该组织要求协同响应；</w:t>
      </w:r>
      <w:bookmarkEnd w:id="192"/>
      <w:bookmarkEnd w:id="193"/>
      <w:bookmarkEnd w:id="194"/>
    </w:p>
    <w:p w14:paraId="6A4DA57B">
      <w:pPr>
        <w:pStyle w:val="119"/>
        <w:widowControl/>
        <w:spacing w:beforeLines="0"/>
        <w:ind w:firstLine="480" w:firstLineChars="200"/>
        <w:jc w:val="both"/>
        <w:outlineLvl w:val="9"/>
        <w:rPr>
          <w:rFonts w:cs="仿宋" w:asciiTheme="minorEastAsia" w:hAnsiTheme="minorEastAsia" w:eastAsiaTheme="minorEastAsia"/>
          <w:b w:val="0"/>
          <w:bCs/>
          <w:color w:val="000000"/>
          <w:kern w:val="0"/>
          <w:sz w:val="24"/>
          <w:szCs w:val="24"/>
        </w:rPr>
      </w:pPr>
      <w:bookmarkStart w:id="195" w:name="_Toc1494"/>
      <w:bookmarkStart w:id="196" w:name="_Toc8624"/>
      <w:bookmarkStart w:id="197" w:name="_Toc218261931"/>
      <w:r>
        <w:rPr>
          <w:rFonts w:hint="eastAsia" w:cs="仿宋" w:asciiTheme="minorEastAsia" w:hAnsiTheme="minorEastAsia" w:eastAsiaTheme="minorEastAsia"/>
          <w:b w:val="0"/>
          <w:bCs/>
          <w:color w:val="000000"/>
          <w:kern w:val="0"/>
          <w:sz w:val="24"/>
          <w:szCs w:val="24"/>
        </w:rPr>
        <w:t>B1.2.5投标人之间为谋取成交或者排斥特定投标人而采取的其他联合行动；</w:t>
      </w:r>
      <w:bookmarkEnd w:id="195"/>
      <w:bookmarkEnd w:id="196"/>
      <w:bookmarkEnd w:id="197"/>
    </w:p>
    <w:p w14:paraId="3FD25A0B">
      <w:pPr>
        <w:pStyle w:val="119"/>
        <w:widowControl/>
        <w:spacing w:beforeLines="0"/>
        <w:ind w:firstLine="480" w:firstLineChars="200"/>
        <w:jc w:val="both"/>
        <w:outlineLvl w:val="9"/>
        <w:rPr>
          <w:rFonts w:cs="仿宋" w:asciiTheme="minorEastAsia" w:hAnsiTheme="minorEastAsia" w:eastAsiaTheme="minorEastAsia"/>
          <w:b w:val="0"/>
          <w:bCs/>
          <w:color w:val="000000"/>
          <w:kern w:val="0"/>
          <w:sz w:val="24"/>
          <w:szCs w:val="24"/>
        </w:rPr>
      </w:pPr>
      <w:bookmarkStart w:id="198" w:name="_Toc32688"/>
      <w:bookmarkStart w:id="199" w:name="_Toc7585"/>
      <w:bookmarkStart w:id="200" w:name="_Toc218261932"/>
      <w:r>
        <w:rPr>
          <w:rFonts w:hint="eastAsia" w:cs="仿宋" w:asciiTheme="minorEastAsia" w:hAnsiTheme="minorEastAsia" w:eastAsiaTheme="minorEastAsia"/>
          <w:b w:val="0"/>
          <w:bCs/>
          <w:color w:val="000000"/>
          <w:kern w:val="0"/>
          <w:sz w:val="24"/>
          <w:szCs w:val="24"/>
        </w:rPr>
        <w:t>B1.2.6不同投标人的响应文件由同一单位或者个人编制；</w:t>
      </w:r>
      <w:bookmarkEnd w:id="198"/>
      <w:bookmarkEnd w:id="199"/>
      <w:bookmarkEnd w:id="200"/>
    </w:p>
    <w:p w14:paraId="03D5233A">
      <w:pPr>
        <w:pStyle w:val="119"/>
        <w:widowControl/>
        <w:spacing w:beforeLines="0"/>
        <w:ind w:firstLine="480" w:firstLineChars="200"/>
        <w:jc w:val="both"/>
        <w:outlineLvl w:val="9"/>
        <w:rPr>
          <w:rFonts w:cs="仿宋" w:asciiTheme="minorEastAsia" w:hAnsiTheme="minorEastAsia" w:eastAsiaTheme="minorEastAsia"/>
          <w:b w:val="0"/>
          <w:bCs/>
          <w:color w:val="000000"/>
          <w:kern w:val="0"/>
          <w:sz w:val="24"/>
          <w:szCs w:val="24"/>
        </w:rPr>
      </w:pPr>
      <w:bookmarkStart w:id="201" w:name="_Toc14505"/>
      <w:bookmarkStart w:id="202" w:name="_Toc28358"/>
      <w:bookmarkStart w:id="203" w:name="_Toc218261933"/>
      <w:r>
        <w:rPr>
          <w:rFonts w:hint="eastAsia" w:cs="仿宋" w:asciiTheme="minorEastAsia" w:hAnsiTheme="minorEastAsia" w:eastAsiaTheme="minorEastAsia"/>
          <w:b w:val="0"/>
          <w:bCs/>
          <w:color w:val="000000"/>
          <w:kern w:val="0"/>
          <w:sz w:val="24"/>
          <w:szCs w:val="24"/>
        </w:rPr>
        <w:t>B1.2.7不同投标人委托同一单位或者个人办理响应事宜；</w:t>
      </w:r>
      <w:bookmarkEnd w:id="201"/>
      <w:bookmarkEnd w:id="202"/>
      <w:bookmarkEnd w:id="203"/>
    </w:p>
    <w:p w14:paraId="22B529A2">
      <w:pPr>
        <w:pStyle w:val="119"/>
        <w:widowControl/>
        <w:spacing w:beforeLines="0"/>
        <w:ind w:firstLine="480" w:firstLineChars="200"/>
        <w:jc w:val="both"/>
        <w:outlineLvl w:val="9"/>
        <w:rPr>
          <w:rFonts w:cs="仿宋" w:asciiTheme="minorEastAsia" w:hAnsiTheme="minorEastAsia" w:eastAsiaTheme="minorEastAsia"/>
          <w:b w:val="0"/>
          <w:bCs/>
          <w:color w:val="000000"/>
          <w:kern w:val="0"/>
          <w:sz w:val="24"/>
          <w:szCs w:val="24"/>
        </w:rPr>
      </w:pPr>
      <w:bookmarkStart w:id="204" w:name="_Toc218261934"/>
      <w:bookmarkStart w:id="205" w:name="_Toc27336"/>
      <w:bookmarkStart w:id="206" w:name="_Toc15412"/>
      <w:r>
        <w:rPr>
          <w:rFonts w:hint="eastAsia" w:cs="仿宋" w:asciiTheme="minorEastAsia" w:hAnsiTheme="minorEastAsia" w:eastAsiaTheme="minorEastAsia"/>
          <w:b w:val="0"/>
          <w:bCs/>
          <w:color w:val="000000"/>
          <w:kern w:val="0"/>
          <w:sz w:val="24"/>
          <w:szCs w:val="24"/>
        </w:rPr>
        <w:t>B1.2.8不同投标人的响应文件异常一致或者响应报价呈规律性差异；</w:t>
      </w:r>
      <w:bookmarkEnd w:id="204"/>
      <w:bookmarkEnd w:id="205"/>
      <w:bookmarkEnd w:id="206"/>
    </w:p>
    <w:p w14:paraId="1B0B0338">
      <w:pPr>
        <w:pStyle w:val="119"/>
        <w:widowControl/>
        <w:spacing w:beforeLines="0"/>
        <w:ind w:firstLine="480" w:firstLineChars="200"/>
        <w:jc w:val="both"/>
        <w:outlineLvl w:val="9"/>
        <w:rPr>
          <w:rFonts w:cs="仿宋" w:asciiTheme="minorEastAsia" w:hAnsiTheme="minorEastAsia" w:eastAsiaTheme="minorEastAsia"/>
          <w:b w:val="0"/>
          <w:bCs/>
          <w:color w:val="000000"/>
          <w:kern w:val="0"/>
          <w:sz w:val="24"/>
          <w:szCs w:val="24"/>
        </w:rPr>
      </w:pPr>
      <w:bookmarkStart w:id="207" w:name="_Toc218261935"/>
      <w:bookmarkStart w:id="208" w:name="_Toc2932"/>
      <w:bookmarkStart w:id="209" w:name="_Toc8708"/>
      <w:r>
        <w:rPr>
          <w:rFonts w:hint="eastAsia" w:cs="仿宋" w:asciiTheme="minorEastAsia" w:hAnsiTheme="minorEastAsia" w:eastAsiaTheme="minorEastAsia"/>
          <w:b w:val="0"/>
          <w:bCs/>
          <w:color w:val="000000"/>
          <w:kern w:val="0"/>
          <w:sz w:val="24"/>
          <w:szCs w:val="24"/>
        </w:rPr>
        <w:t>B1.2.9不同投标人的响应文件错漏之处一致的；</w:t>
      </w:r>
      <w:bookmarkEnd w:id="207"/>
      <w:bookmarkEnd w:id="208"/>
      <w:bookmarkEnd w:id="209"/>
    </w:p>
    <w:p w14:paraId="10874D3E">
      <w:pPr>
        <w:pStyle w:val="119"/>
        <w:widowControl/>
        <w:spacing w:beforeLines="0"/>
        <w:ind w:firstLine="480" w:firstLineChars="200"/>
        <w:jc w:val="both"/>
        <w:outlineLvl w:val="9"/>
        <w:rPr>
          <w:rFonts w:cs="仿宋" w:asciiTheme="minorEastAsia" w:hAnsiTheme="minorEastAsia" w:eastAsiaTheme="minorEastAsia"/>
          <w:b w:val="0"/>
          <w:bCs/>
          <w:color w:val="000000"/>
          <w:kern w:val="0"/>
          <w:sz w:val="24"/>
          <w:szCs w:val="24"/>
        </w:rPr>
      </w:pPr>
      <w:bookmarkStart w:id="210" w:name="_Toc27572"/>
      <w:bookmarkStart w:id="211" w:name="_Toc218261936"/>
      <w:bookmarkStart w:id="212" w:name="_Toc587"/>
      <w:r>
        <w:rPr>
          <w:rFonts w:hint="eastAsia" w:cs="仿宋" w:asciiTheme="minorEastAsia" w:hAnsiTheme="minorEastAsia" w:eastAsiaTheme="minorEastAsia"/>
          <w:b w:val="0"/>
          <w:bCs/>
          <w:color w:val="000000"/>
          <w:kern w:val="0"/>
          <w:sz w:val="24"/>
          <w:szCs w:val="24"/>
        </w:rPr>
        <w:t>B1.2.10不同投标人的响应文件相互混装；</w:t>
      </w:r>
      <w:bookmarkEnd w:id="210"/>
      <w:bookmarkEnd w:id="211"/>
      <w:bookmarkEnd w:id="212"/>
    </w:p>
    <w:p w14:paraId="31AB0B75">
      <w:pPr>
        <w:pStyle w:val="119"/>
        <w:widowControl/>
        <w:spacing w:beforeLines="0"/>
        <w:ind w:firstLine="480" w:firstLineChars="200"/>
        <w:jc w:val="both"/>
        <w:outlineLvl w:val="9"/>
        <w:rPr>
          <w:rFonts w:cs="仿宋" w:asciiTheme="minorEastAsia" w:hAnsiTheme="minorEastAsia" w:eastAsiaTheme="minorEastAsia"/>
          <w:b w:val="0"/>
          <w:bCs/>
          <w:color w:val="000000"/>
          <w:kern w:val="0"/>
          <w:sz w:val="24"/>
          <w:szCs w:val="24"/>
        </w:rPr>
      </w:pPr>
      <w:bookmarkStart w:id="213" w:name="_Toc218261937"/>
      <w:bookmarkStart w:id="214" w:name="_Toc22881"/>
      <w:bookmarkStart w:id="215" w:name="_Toc11508"/>
      <w:r>
        <w:rPr>
          <w:rFonts w:hint="eastAsia" w:cs="仿宋" w:asciiTheme="minorEastAsia" w:hAnsiTheme="minorEastAsia" w:eastAsiaTheme="minorEastAsia"/>
          <w:b w:val="0"/>
          <w:bCs/>
          <w:color w:val="000000"/>
          <w:kern w:val="0"/>
          <w:sz w:val="24"/>
          <w:szCs w:val="24"/>
        </w:rPr>
        <w:t>B1.2.11不同投标人的响应文件由同一台电脑编制或者同一台附属设备打印；</w:t>
      </w:r>
      <w:bookmarkEnd w:id="213"/>
      <w:bookmarkEnd w:id="214"/>
      <w:bookmarkEnd w:id="215"/>
    </w:p>
    <w:p w14:paraId="09E3495F">
      <w:pPr>
        <w:pStyle w:val="119"/>
        <w:widowControl/>
        <w:spacing w:beforeLines="0"/>
        <w:ind w:firstLine="480" w:firstLineChars="200"/>
        <w:jc w:val="both"/>
        <w:outlineLvl w:val="9"/>
        <w:rPr>
          <w:rFonts w:cs="仿宋" w:asciiTheme="minorEastAsia" w:hAnsiTheme="minorEastAsia" w:eastAsiaTheme="minorEastAsia"/>
          <w:b w:val="0"/>
          <w:bCs/>
          <w:color w:val="000000"/>
          <w:kern w:val="0"/>
          <w:sz w:val="24"/>
          <w:szCs w:val="24"/>
        </w:rPr>
      </w:pPr>
      <w:bookmarkStart w:id="216" w:name="_Toc218261938"/>
      <w:bookmarkStart w:id="217" w:name="_Toc3770"/>
      <w:bookmarkStart w:id="218" w:name="_Toc7991"/>
      <w:r>
        <w:rPr>
          <w:rFonts w:hint="eastAsia" w:cs="仿宋" w:asciiTheme="minorEastAsia" w:hAnsiTheme="minorEastAsia" w:eastAsiaTheme="minorEastAsia"/>
          <w:b w:val="0"/>
          <w:bCs/>
          <w:color w:val="000000"/>
          <w:kern w:val="0"/>
          <w:sz w:val="24"/>
          <w:szCs w:val="24"/>
        </w:rPr>
        <w:t>B1.2.12不同投标人的谈判保证金从同一单位或者个人的账户转出；</w:t>
      </w:r>
      <w:bookmarkEnd w:id="216"/>
      <w:bookmarkEnd w:id="217"/>
      <w:bookmarkEnd w:id="218"/>
    </w:p>
    <w:p w14:paraId="6F826806">
      <w:pPr>
        <w:pStyle w:val="119"/>
        <w:widowControl/>
        <w:spacing w:beforeLines="0"/>
        <w:ind w:firstLine="480" w:firstLineChars="200"/>
        <w:jc w:val="both"/>
        <w:outlineLvl w:val="9"/>
        <w:rPr>
          <w:rFonts w:cs="仿宋" w:asciiTheme="minorEastAsia" w:hAnsiTheme="minorEastAsia" w:eastAsiaTheme="minorEastAsia"/>
          <w:b w:val="0"/>
          <w:bCs/>
          <w:color w:val="000000"/>
          <w:kern w:val="0"/>
          <w:sz w:val="24"/>
          <w:szCs w:val="24"/>
        </w:rPr>
      </w:pPr>
      <w:bookmarkStart w:id="219" w:name="_Toc218261939"/>
      <w:bookmarkStart w:id="220" w:name="_Toc13210"/>
      <w:bookmarkStart w:id="221" w:name="_Toc13968"/>
      <w:r>
        <w:rPr>
          <w:rFonts w:hint="eastAsia" w:cs="仿宋" w:asciiTheme="minorEastAsia" w:hAnsiTheme="minorEastAsia" w:eastAsiaTheme="minorEastAsia"/>
          <w:b w:val="0"/>
          <w:bCs/>
          <w:color w:val="000000"/>
          <w:kern w:val="0"/>
          <w:sz w:val="24"/>
          <w:szCs w:val="24"/>
        </w:rPr>
        <w:t>B1.2.13不同投标人使用同一个人或者企业资金交纳响应保证金或者响应保函的反担保的；</w:t>
      </w:r>
      <w:bookmarkEnd w:id="219"/>
      <w:bookmarkEnd w:id="220"/>
      <w:bookmarkEnd w:id="221"/>
    </w:p>
    <w:p w14:paraId="78DD95F4">
      <w:pPr>
        <w:pStyle w:val="119"/>
        <w:widowControl/>
        <w:spacing w:beforeLines="0"/>
        <w:ind w:firstLine="480" w:firstLineChars="200"/>
        <w:jc w:val="both"/>
        <w:outlineLvl w:val="9"/>
        <w:rPr>
          <w:rFonts w:cs="仿宋" w:asciiTheme="minorEastAsia" w:hAnsiTheme="minorEastAsia" w:eastAsiaTheme="minorEastAsia"/>
          <w:b w:val="0"/>
          <w:bCs/>
          <w:color w:val="000000"/>
          <w:kern w:val="0"/>
          <w:sz w:val="24"/>
          <w:szCs w:val="24"/>
        </w:rPr>
      </w:pPr>
      <w:bookmarkStart w:id="222" w:name="_Toc19806"/>
      <w:bookmarkStart w:id="223" w:name="_Toc218261940"/>
      <w:bookmarkStart w:id="224" w:name="_Toc16474"/>
      <w:r>
        <w:rPr>
          <w:rFonts w:hint="eastAsia" w:cs="仿宋" w:asciiTheme="minorEastAsia" w:hAnsiTheme="minorEastAsia" w:eastAsiaTheme="minorEastAsia"/>
          <w:b w:val="0"/>
          <w:bCs/>
          <w:color w:val="000000"/>
          <w:kern w:val="0"/>
          <w:sz w:val="24"/>
          <w:szCs w:val="24"/>
        </w:rPr>
        <w:t>B1.2.14使用伪造、变造的许可证件；</w:t>
      </w:r>
      <w:bookmarkEnd w:id="222"/>
      <w:bookmarkEnd w:id="223"/>
      <w:bookmarkEnd w:id="224"/>
    </w:p>
    <w:p w14:paraId="67CEA182">
      <w:pPr>
        <w:pStyle w:val="119"/>
        <w:widowControl/>
        <w:spacing w:beforeLines="0"/>
        <w:ind w:firstLine="480" w:firstLineChars="200"/>
        <w:jc w:val="both"/>
        <w:outlineLvl w:val="9"/>
        <w:rPr>
          <w:rFonts w:cs="仿宋" w:asciiTheme="minorEastAsia" w:hAnsiTheme="minorEastAsia" w:eastAsiaTheme="minorEastAsia"/>
          <w:b w:val="0"/>
          <w:bCs/>
          <w:color w:val="000000"/>
          <w:kern w:val="0"/>
          <w:sz w:val="24"/>
          <w:szCs w:val="24"/>
        </w:rPr>
      </w:pPr>
      <w:bookmarkStart w:id="225" w:name="_Toc21578"/>
      <w:bookmarkStart w:id="226" w:name="_Toc218261941"/>
      <w:bookmarkStart w:id="227" w:name="_Toc29175"/>
      <w:r>
        <w:rPr>
          <w:rFonts w:hint="eastAsia" w:cs="仿宋" w:asciiTheme="minorEastAsia" w:hAnsiTheme="minorEastAsia" w:eastAsiaTheme="minorEastAsia"/>
          <w:b w:val="0"/>
          <w:bCs/>
          <w:color w:val="000000"/>
          <w:kern w:val="0"/>
          <w:sz w:val="24"/>
          <w:szCs w:val="24"/>
        </w:rPr>
        <w:t>B1.2.15提供虚假的财务状况或者业绩；</w:t>
      </w:r>
      <w:bookmarkEnd w:id="225"/>
      <w:bookmarkEnd w:id="226"/>
      <w:bookmarkEnd w:id="227"/>
    </w:p>
    <w:p w14:paraId="7D16D968">
      <w:pPr>
        <w:pStyle w:val="119"/>
        <w:widowControl/>
        <w:spacing w:beforeLines="0"/>
        <w:ind w:firstLine="480" w:firstLineChars="200"/>
        <w:jc w:val="both"/>
        <w:outlineLvl w:val="9"/>
        <w:rPr>
          <w:rFonts w:cs="仿宋" w:asciiTheme="minorEastAsia" w:hAnsiTheme="minorEastAsia" w:eastAsiaTheme="minorEastAsia"/>
          <w:b w:val="0"/>
          <w:bCs/>
          <w:color w:val="000000"/>
          <w:kern w:val="0"/>
          <w:sz w:val="24"/>
          <w:szCs w:val="24"/>
        </w:rPr>
      </w:pPr>
      <w:bookmarkStart w:id="228" w:name="_Toc218261942"/>
      <w:bookmarkStart w:id="229" w:name="_Toc9474"/>
      <w:bookmarkStart w:id="230" w:name="_Toc2666"/>
      <w:r>
        <w:rPr>
          <w:rFonts w:hint="eastAsia" w:cs="仿宋" w:asciiTheme="minorEastAsia" w:hAnsiTheme="minorEastAsia" w:eastAsiaTheme="minorEastAsia"/>
          <w:b w:val="0"/>
          <w:bCs/>
          <w:color w:val="000000"/>
          <w:kern w:val="0"/>
          <w:sz w:val="24"/>
          <w:szCs w:val="24"/>
        </w:rPr>
        <w:t>B1.2.16提供虚假的信用状况；</w:t>
      </w:r>
      <w:bookmarkEnd w:id="228"/>
      <w:bookmarkEnd w:id="229"/>
      <w:bookmarkEnd w:id="230"/>
    </w:p>
    <w:p w14:paraId="709F5B2C">
      <w:pPr>
        <w:pStyle w:val="119"/>
        <w:widowControl/>
        <w:spacing w:beforeLines="0"/>
        <w:ind w:firstLine="480" w:firstLineChars="200"/>
        <w:jc w:val="both"/>
        <w:outlineLvl w:val="9"/>
        <w:rPr>
          <w:rFonts w:cs="仿宋" w:asciiTheme="minorEastAsia" w:hAnsiTheme="minorEastAsia" w:eastAsiaTheme="minorEastAsia"/>
          <w:b w:val="0"/>
          <w:bCs/>
          <w:color w:val="000000"/>
          <w:kern w:val="0"/>
          <w:sz w:val="24"/>
          <w:szCs w:val="24"/>
        </w:rPr>
      </w:pPr>
      <w:bookmarkStart w:id="231" w:name="_Toc23179"/>
      <w:bookmarkStart w:id="232" w:name="_Toc218261943"/>
      <w:bookmarkStart w:id="233" w:name="_Toc27633"/>
      <w:r>
        <w:rPr>
          <w:rFonts w:hint="eastAsia" w:cs="仿宋" w:asciiTheme="minorEastAsia" w:hAnsiTheme="minorEastAsia" w:eastAsiaTheme="minorEastAsia"/>
          <w:b w:val="0"/>
          <w:bCs/>
          <w:color w:val="000000"/>
          <w:kern w:val="0"/>
          <w:sz w:val="24"/>
          <w:szCs w:val="24"/>
        </w:rPr>
        <w:t>B1.2.17其他弄虚作假的行为；</w:t>
      </w:r>
      <w:bookmarkEnd w:id="231"/>
      <w:bookmarkEnd w:id="232"/>
      <w:bookmarkEnd w:id="233"/>
    </w:p>
    <w:p w14:paraId="2C799282">
      <w:pPr>
        <w:pStyle w:val="119"/>
        <w:widowControl/>
        <w:spacing w:beforeLines="0"/>
        <w:ind w:firstLine="480" w:firstLineChars="200"/>
        <w:jc w:val="both"/>
        <w:outlineLvl w:val="9"/>
        <w:rPr>
          <w:rFonts w:ascii="宋体" w:hAnsi="宋体" w:eastAsia="宋体" w:cs="仿宋"/>
          <w:b w:val="0"/>
          <w:bCs/>
          <w:color w:val="000000"/>
          <w:kern w:val="0"/>
          <w:sz w:val="24"/>
          <w:szCs w:val="24"/>
        </w:rPr>
      </w:pPr>
      <w:bookmarkStart w:id="234" w:name="_Toc22832"/>
      <w:bookmarkStart w:id="235" w:name="_Toc4045"/>
      <w:bookmarkStart w:id="236" w:name="_Toc218261944"/>
      <w:r>
        <w:rPr>
          <w:rFonts w:hint="eastAsia" w:ascii="宋体" w:hAnsi="宋体" w:eastAsia="宋体" w:cs="仿宋"/>
          <w:b w:val="0"/>
          <w:bCs/>
          <w:color w:val="000000"/>
          <w:kern w:val="0"/>
          <w:sz w:val="24"/>
          <w:szCs w:val="24"/>
        </w:rPr>
        <w:t>B1.2.18采购人在谈判前开启响应文件并将有关信息泄露给其他投标人；</w:t>
      </w:r>
      <w:bookmarkEnd w:id="234"/>
      <w:bookmarkEnd w:id="235"/>
      <w:bookmarkEnd w:id="236"/>
    </w:p>
    <w:p w14:paraId="4EF651E1">
      <w:pPr>
        <w:pStyle w:val="119"/>
        <w:widowControl/>
        <w:spacing w:beforeLines="0"/>
        <w:ind w:firstLine="480" w:firstLineChars="200"/>
        <w:jc w:val="both"/>
        <w:outlineLvl w:val="9"/>
        <w:rPr>
          <w:rFonts w:ascii="宋体" w:hAnsi="宋体" w:eastAsia="宋体" w:cs="仿宋"/>
          <w:b w:val="0"/>
          <w:bCs/>
          <w:color w:val="000000"/>
          <w:kern w:val="0"/>
          <w:sz w:val="24"/>
          <w:szCs w:val="24"/>
        </w:rPr>
      </w:pPr>
      <w:bookmarkStart w:id="237" w:name="_Toc7642"/>
      <w:bookmarkStart w:id="238" w:name="_Toc3700"/>
      <w:bookmarkStart w:id="239" w:name="_Toc218261945"/>
      <w:r>
        <w:rPr>
          <w:rFonts w:hint="eastAsia" w:ascii="宋体" w:hAnsi="宋体" w:eastAsia="宋体" w:cs="仿宋"/>
          <w:b w:val="0"/>
          <w:bCs/>
          <w:color w:val="000000"/>
          <w:kern w:val="0"/>
          <w:sz w:val="24"/>
          <w:szCs w:val="24"/>
        </w:rPr>
        <w:t>B1.2.19采购人直接或者间接向投标人泄露底价、评审委员会成员等信息；</w:t>
      </w:r>
      <w:bookmarkEnd w:id="237"/>
      <w:bookmarkEnd w:id="238"/>
      <w:bookmarkEnd w:id="239"/>
    </w:p>
    <w:p w14:paraId="5AAFF79C">
      <w:pPr>
        <w:pStyle w:val="119"/>
        <w:widowControl/>
        <w:spacing w:beforeLines="0"/>
        <w:ind w:firstLine="480" w:firstLineChars="200"/>
        <w:jc w:val="both"/>
        <w:outlineLvl w:val="9"/>
        <w:rPr>
          <w:rFonts w:ascii="宋体" w:hAnsi="宋体" w:eastAsia="宋体" w:cs="仿宋"/>
          <w:b w:val="0"/>
          <w:bCs/>
          <w:color w:val="000000"/>
          <w:kern w:val="0"/>
          <w:sz w:val="24"/>
          <w:szCs w:val="24"/>
        </w:rPr>
      </w:pPr>
      <w:bookmarkStart w:id="240" w:name="_Toc5952"/>
      <w:bookmarkStart w:id="241" w:name="_Toc218261946"/>
      <w:bookmarkStart w:id="242" w:name="_Toc9473"/>
      <w:r>
        <w:rPr>
          <w:rFonts w:hint="eastAsia" w:ascii="宋体" w:hAnsi="宋体" w:eastAsia="宋体" w:cs="仿宋"/>
          <w:b w:val="0"/>
          <w:bCs/>
          <w:color w:val="000000"/>
          <w:kern w:val="0"/>
          <w:sz w:val="24"/>
          <w:szCs w:val="24"/>
        </w:rPr>
        <w:t>B1.2.20采购人明示或者暗示投标人压低或者抬高报价；</w:t>
      </w:r>
      <w:bookmarkEnd w:id="240"/>
      <w:bookmarkEnd w:id="241"/>
      <w:bookmarkEnd w:id="242"/>
    </w:p>
    <w:p w14:paraId="2BBAF177">
      <w:pPr>
        <w:pStyle w:val="119"/>
        <w:widowControl/>
        <w:spacing w:beforeLines="0"/>
        <w:ind w:firstLine="480" w:firstLineChars="200"/>
        <w:jc w:val="both"/>
        <w:outlineLvl w:val="9"/>
        <w:rPr>
          <w:rFonts w:ascii="宋体" w:hAnsi="宋体" w:eastAsia="宋体" w:cs="仿宋"/>
          <w:b w:val="0"/>
          <w:bCs/>
          <w:color w:val="000000"/>
          <w:kern w:val="0"/>
          <w:sz w:val="24"/>
          <w:szCs w:val="24"/>
        </w:rPr>
      </w:pPr>
      <w:bookmarkStart w:id="243" w:name="_Toc218261947"/>
      <w:bookmarkStart w:id="244" w:name="_Toc2893"/>
      <w:bookmarkStart w:id="245" w:name="_Toc25670"/>
      <w:r>
        <w:rPr>
          <w:rFonts w:hint="eastAsia" w:ascii="宋体" w:hAnsi="宋体" w:eastAsia="宋体" w:cs="仿宋"/>
          <w:b w:val="0"/>
          <w:bCs/>
          <w:color w:val="000000"/>
          <w:kern w:val="0"/>
          <w:sz w:val="24"/>
          <w:szCs w:val="24"/>
        </w:rPr>
        <w:t>B1.2.21采购人授意投标人撤换、修改响应文件；</w:t>
      </w:r>
      <w:bookmarkEnd w:id="243"/>
      <w:bookmarkEnd w:id="244"/>
      <w:bookmarkEnd w:id="245"/>
    </w:p>
    <w:p w14:paraId="3DCE3B3F">
      <w:pPr>
        <w:pStyle w:val="119"/>
        <w:widowControl/>
        <w:spacing w:beforeLines="0"/>
        <w:ind w:firstLine="480" w:firstLineChars="200"/>
        <w:jc w:val="both"/>
        <w:outlineLvl w:val="9"/>
        <w:rPr>
          <w:rFonts w:ascii="宋体" w:hAnsi="宋体" w:eastAsia="宋体" w:cs="仿宋"/>
          <w:b w:val="0"/>
          <w:bCs/>
          <w:color w:val="000000"/>
          <w:kern w:val="0"/>
          <w:sz w:val="24"/>
          <w:szCs w:val="24"/>
        </w:rPr>
      </w:pPr>
      <w:bookmarkStart w:id="246" w:name="_Toc218261948"/>
      <w:bookmarkStart w:id="247" w:name="_Toc9700"/>
      <w:bookmarkStart w:id="248" w:name="_Toc13206"/>
      <w:r>
        <w:rPr>
          <w:rFonts w:hint="eastAsia" w:ascii="宋体" w:hAnsi="宋体" w:eastAsia="宋体" w:cs="仿宋"/>
          <w:b w:val="0"/>
          <w:bCs/>
          <w:color w:val="000000"/>
          <w:kern w:val="0"/>
          <w:sz w:val="24"/>
          <w:szCs w:val="24"/>
        </w:rPr>
        <w:t>B1.2.22采购人明示或者暗示投标人为特定投标人成交提供方便；</w:t>
      </w:r>
      <w:bookmarkEnd w:id="246"/>
      <w:bookmarkEnd w:id="247"/>
      <w:bookmarkEnd w:id="248"/>
    </w:p>
    <w:p w14:paraId="2BC3B1A3">
      <w:pPr>
        <w:pStyle w:val="119"/>
        <w:widowControl/>
        <w:spacing w:beforeLines="0"/>
        <w:ind w:firstLine="480" w:firstLineChars="200"/>
        <w:jc w:val="both"/>
        <w:outlineLvl w:val="9"/>
        <w:rPr>
          <w:rFonts w:ascii="宋体" w:hAnsi="宋体" w:eastAsia="宋体" w:cs="仿宋"/>
          <w:b w:val="0"/>
          <w:bCs/>
          <w:color w:val="000000"/>
          <w:kern w:val="0"/>
          <w:sz w:val="24"/>
          <w:szCs w:val="24"/>
        </w:rPr>
      </w:pPr>
      <w:bookmarkStart w:id="249" w:name="_Toc218261949"/>
      <w:bookmarkStart w:id="250" w:name="_Toc32227"/>
      <w:bookmarkStart w:id="251" w:name="_Toc2603"/>
      <w:r>
        <w:rPr>
          <w:rFonts w:hint="eastAsia" w:ascii="宋体" w:hAnsi="宋体" w:eastAsia="宋体" w:cs="仿宋"/>
          <w:b w:val="0"/>
          <w:bCs/>
          <w:color w:val="000000"/>
          <w:kern w:val="0"/>
          <w:sz w:val="24"/>
          <w:szCs w:val="24"/>
        </w:rPr>
        <w:t>B1.2.23采购人与投标人为谋求特定投标人成交而采取的其他串通行为；</w:t>
      </w:r>
      <w:bookmarkEnd w:id="249"/>
      <w:bookmarkEnd w:id="250"/>
      <w:bookmarkEnd w:id="251"/>
    </w:p>
    <w:p w14:paraId="0D827436">
      <w:pPr>
        <w:pStyle w:val="119"/>
        <w:widowControl/>
        <w:spacing w:beforeLines="0"/>
        <w:ind w:firstLine="480" w:firstLineChars="200"/>
        <w:jc w:val="both"/>
        <w:outlineLvl w:val="9"/>
        <w:rPr>
          <w:rFonts w:ascii="宋体" w:hAnsi="宋体" w:eastAsia="宋体" w:cs="仿宋"/>
          <w:b w:val="0"/>
          <w:bCs/>
          <w:color w:val="000000"/>
          <w:kern w:val="0"/>
          <w:sz w:val="24"/>
          <w:szCs w:val="24"/>
        </w:rPr>
      </w:pPr>
      <w:bookmarkStart w:id="252" w:name="_Toc6004"/>
      <w:bookmarkStart w:id="253" w:name="_Toc14431"/>
      <w:bookmarkStart w:id="254" w:name="_Toc218261950"/>
      <w:r>
        <w:rPr>
          <w:rFonts w:hint="eastAsia" w:ascii="宋体" w:hAnsi="宋体" w:eastAsia="宋体" w:cs="仿宋"/>
          <w:b w:val="0"/>
          <w:bCs/>
          <w:color w:val="000000"/>
          <w:kern w:val="0"/>
          <w:sz w:val="24"/>
          <w:szCs w:val="24"/>
        </w:rPr>
        <w:t>B1.2.24评审委员会认定的其他串通情形；</w:t>
      </w:r>
      <w:bookmarkEnd w:id="252"/>
      <w:bookmarkEnd w:id="253"/>
      <w:bookmarkEnd w:id="254"/>
    </w:p>
    <w:p w14:paraId="60B105B8">
      <w:pPr>
        <w:pStyle w:val="119"/>
        <w:widowControl/>
        <w:spacing w:beforeLines="0"/>
        <w:ind w:firstLine="480" w:firstLineChars="200"/>
        <w:jc w:val="both"/>
        <w:outlineLvl w:val="9"/>
        <w:rPr>
          <w:rFonts w:ascii="宋体" w:hAnsi="宋体" w:eastAsia="宋体" w:cs="仿宋"/>
          <w:b w:val="0"/>
          <w:bCs/>
          <w:color w:val="000000"/>
          <w:kern w:val="0"/>
          <w:sz w:val="24"/>
          <w:szCs w:val="24"/>
        </w:rPr>
      </w:pPr>
      <w:bookmarkStart w:id="255" w:name="_Toc218261951"/>
      <w:bookmarkStart w:id="256" w:name="_Toc22876"/>
      <w:bookmarkStart w:id="257" w:name="_Toc23431"/>
      <w:r>
        <w:rPr>
          <w:rFonts w:hint="eastAsia" w:ascii="宋体" w:hAnsi="宋体" w:eastAsia="宋体" w:cs="仿宋"/>
          <w:b w:val="0"/>
          <w:bCs/>
          <w:color w:val="000000"/>
          <w:kern w:val="0"/>
          <w:sz w:val="24"/>
          <w:szCs w:val="24"/>
        </w:rPr>
        <w:t>B1.3不按评审委员会要求澄清、说明或补正的。</w:t>
      </w:r>
      <w:bookmarkEnd w:id="255"/>
      <w:bookmarkEnd w:id="256"/>
      <w:bookmarkEnd w:id="257"/>
    </w:p>
    <w:p w14:paraId="02355657">
      <w:pPr>
        <w:pStyle w:val="119"/>
        <w:widowControl/>
        <w:spacing w:beforeLines="0"/>
        <w:ind w:firstLine="480" w:firstLineChars="200"/>
        <w:jc w:val="both"/>
        <w:outlineLvl w:val="9"/>
        <w:rPr>
          <w:rFonts w:ascii="宋体" w:hAnsi="宋体" w:eastAsia="宋体" w:cs="仿宋"/>
          <w:b w:val="0"/>
          <w:bCs/>
          <w:color w:val="000000"/>
          <w:kern w:val="0"/>
          <w:sz w:val="24"/>
          <w:szCs w:val="24"/>
        </w:rPr>
      </w:pPr>
      <w:bookmarkStart w:id="258" w:name="_Toc32136"/>
      <w:bookmarkStart w:id="259" w:name="_Toc218261952"/>
      <w:bookmarkStart w:id="260" w:name="_Toc11885"/>
      <w:r>
        <w:rPr>
          <w:rFonts w:hint="eastAsia" w:ascii="宋体" w:hAnsi="宋体" w:eastAsia="宋体" w:cs="仿宋"/>
          <w:b w:val="0"/>
          <w:bCs/>
          <w:color w:val="000000"/>
          <w:kern w:val="0"/>
          <w:sz w:val="24"/>
          <w:szCs w:val="24"/>
        </w:rPr>
        <w:t>B1.4在形式评审、资格评审（适用于未进行资格预审的）、响应性评审中，评审委员会认定投标人的响应文件不符合评审办法前附表中规定的任何一项评审标准的。</w:t>
      </w:r>
      <w:bookmarkEnd w:id="258"/>
      <w:bookmarkEnd w:id="259"/>
      <w:bookmarkEnd w:id="260"/>
    </w:p>
    <w:p w14:paraId="533DE9B2">
      <w:pPr>
        <w:pStyle w:val="119"/>
        <w:widowControl/>
        <w:spacing w:beforeLines="0"/>
        <w:ind w:firstLine="480" w:firstLineChars="200"/>
        <w:jc w:val="both"/>
        <w:outlineLvl w:val="9"/>
        <w:rPr>
          <w:rFonts w:ascii="宋体" w:hAnsi="宋体" w:eastAsia="宋体" w:cs="仿宋"/>
          <w:b w:val="0"/>
          <w:bCs/>
          <w:color w:val="000000"/>
          <w:kern w:val="0"/>
          <w:sz w:val="24"/>
          <w:szCs w:val="24"/>
        </w:rPr>
      </w:pPr>
      <w:bookmarkStart w:id="261" w:name="_Toc9229"/>
      <w:bookmarkStart w:id="262" w:name="_Toc218261953"/>
      <w:bookmarkStart w:id="263" w:name="_Toc7628"/>
      <w:r>
        <w:rPr>
          <w:rFonts w:hint="eastAsia" w:ascii="宋体" w:hAnsi="宋体" w:eastAsia="宋体" w:cs="仿宋"/>
          <w:b w:val="0"/>
          <w:bCs/>
          <w:color w:val="000000"/>
          <w:kern w:val="0"/>
          <w:sz w:val="24"/>
          <w:szCs w:val="24"/>
        </w:rPr>
        <w:t>B1.5当投标人资格预审申请文件的内容发生重大变化时，其在响应文件中更新的资料，未能通过资格评审的（适用于已进行资格预审的）。</w:t>
      </w:r>
      <w:bookmarkEnd w:id="261"/>
      <w:bookmarkEnd w:id="262"/>
      <w:bookmarkEnd w:id="263"/>
    </w:p>
    <w:p w14:paraId="093B444F">
      <w:pPr>
        <w:pStyle w:val="119"/>
        <w:widowControl/>
        <w:spacing w:beforeLines="0"/>
        <w:ind w:firstLine="480" w:firstLineChars="200"/>
        <w:jc w:val="both"/>
        <w:outlineLvl w:val="9"/>
        <w:rPr>
          <w:rFonts w:ascii="宋体" w:hAnsi="宋体" w:eastAsia="宋体" w:cs="仿宋"/>
          <w:b w:val="0"/>
          <w:bCs/>
          <w:color w:val="000000"/>
          <w:kern w:val="0"/>
          <w:sz w:val="24"/>
          <w:szCs w:val="24"/>
        </w:rPr>
      </w:pPr>
      <w:bookmarkStart w:id="264" w:name="_Toc218261954"/>
      <w:bookmarkStart w:id="265" w:name="_Toc28698"/>
      <w:bookmarkStart w:id="266" w:name="_Toc21797"/>
      <w:r>
        <w:rPr>
          <w:rFonts w:hint="eastAsia" w:ascii="宋体" w:hAnsi="宋体" w:eastAsia="宋体" w:cs="仿宋"/>
          <w:b w:val="0"/>
          <w:bCs/>
          <w:color w:val="000000"/>
          <w:kern w:val="0"/>
          <w:sz w:val="24"/>
          <w:szCs w:val="24"/>
        </w:rPr>
        <w:t>B1.6在技术和资信评审中，评审委员会认定投标人的响应未能通过此项评审的。</w:t>
      </w:r>
      <w:bookmarkEnd w:id="264"/>
      <w:bookmarkEnd w:id="265"/>
      <w:bookmarkEnd w:id="266"/>
    </w:p>
    <w:p w14:paraId="41B851BB">
      <w:pPr>
        <w:pStyle w:val="119"/>
        <w:widowControl/>
        <w:spacing w:beforeLines="0"/>
        <w:ind w:firstLine="480" w:firstLineChars="200"/>
        <w:jc w:val="both"/>
        <w:outlineLvl w:val="9"/>
        <w:rPr>
          <w:rFonts w:ascii="宋体" w:hAnsi="宋体" w:eastAsia="宋体" w:cs="仿宋"/>
          <w:b w:val="0"/>
          <w:bCs/>
          <w:color w:val="000000"/>
          <w:kern w:val="0"/>
          <w:sz w:val="24"/>
          <w:szCs w:val="24"/>
        </w:rPr>
      </w:pPr>
      <w:bookmarkStart w:id="267" w:name="_Toc13603"/>
      <w:bookmarkStart w:id="268" w:name="_Toc5012"/>
      <w:bookmarkStart w:id="269" w:name="_Toc218261955"/>
      <w:r>
        <w:rPr>
          <w:rFonts w:hint="eastAsia" w:ascii="宋体" w:hAnsi="宋体" w:eastAsia="宋体" w:cs="仿宋"/>
          <w:b w:val="0"/>
          <w:bCs/>
          <w:color w:val="000000"/>
          <w:kern w:val="0"/>
          <w:sz w:val="24"/>
          <w:szCs w:val="24"/>
        </w:rPr>
        <w:t>B1.7评审委员会认定投标人以低于成本报价竞争的。</w:t>
      </w:r>
      <w:bookmarkEnd w:id="267"/>
      <w:bookmarkEnd w:id="268"/>
      <w:bookmarkEnd w:id="269"/>
    </w:p>
    <w:p w14:paraId="57245444">
      <w:pPr>
        <w:pStyle w:val="22"/>
        <w:ind w:left="0" w:leftChars="0" w:firstLine="0" w:firstLineChars="0"/>
        <w:rPr>
          <w:rFonts w:ascii="Times New Roman" w:hAnsi="Times New Roman" w:cs="Times New Roman"/>
        </w:rPr>
      </w:pPr>
      <w:r>
        <w:rPr>
          <w:rFonts w:ascii="Times New Roman" w:hAnsi="Times New Roman" w:cs="Times New Roman"/>
        </w:rPr>
        <w:br w:type="page"/>
      </w:r>
    </w:p>
    <w:p w14:paraId="27C18CAC">
      <w:pPr>
        <w:pStyle w:val="128"/>
        <w:spacing w:before="120"/>
        <w:rPr>
          <w:rFonts w:ascii="Times New Roman" w:hAnsi="Times New Roman" w:cs="Times New Roman"/>
          <w:bCs/>
          <w:sz w:val="36"/>
          <w:szCs w:val="36"/>
        </w:rPr>
      </w:pPr>
      <w:bookmarkStart w:id="270" w:name="_Toc218261956"/>
      <w:bookmarkStart w:id="271" w:name="_Toc506105866"/>
      <w:bookmarkStart w:id="272" w:name="_Toc507936060"/>
      <w:bookmarkStart w:id="273" w:name="_Toc218261992"/>
      <w:r>
        <w:rPr>
          <w:rFonts w:ascii="Times New Roman" w:hAnsi="Times New Roman" w:eastAsia="黑体" w:cs="Times New Roman"/>
          <w:bCs/>
          <w:kern w:val="2"/>
          <w:sz w:val="36"/>
          <w:szCs w:val="36"/>
        </w:rPr>
        <w:t>第三章  评标办法</w:t>
      </w:r>
      <w:bookmarkEnd w:id="270"/>
      <w:bookmarkEnd w:id="271"/>
      <w:bookmarkEnd w:id="272"/>
      <w:bookmarkEnd w:id="273"/>
    </w:p>
    <w:p w14:paraId="473E5F67">
      <w:pPr>
        <w:spacing w:line="360" w:lineRule="auto"/>
        <w:ind w:firstLine="480" w:firstLineChars="200"/>
        <w:jc w:val="both"/>
        <w:rPr>
          <w:rFonts w:ascii="Times New Roman" w:hAnsi="Times New Roman" w:cs="Times New Roman"/>
          <w:bCs/>
        </w:rPr>
      </w:pPr>
      <w:r>
        <w:rPr>
          <w:rFonts w:hint="eastAsia" w:ascii="Times New Roman" w:hAnsi="Times New Roman" w:cs="Times New Roman"/>
          <w:bCs/>
        </w:rPr>
        <w:t>为规范谈判工作，制定本办法。</w:t>
      </w:r>
    </w:p>
    <w:p w14:paraId="3EDEBFBF">
      <w:pPr>
        <w:spacing w:line="360" w:lineRule="auto"/>
        <w:ind w:firstLine="480" w:firstLineChars="200"/>
        <w:jc w:val="both"/>
        <w:rPr>
          <w:rFonts w:ascii="Times New Roman" w:hAnsi="Times New Roman" w:cs="Times New Roman"/>
          <w:bCs/>
        </w:rPr>
      </w:pPr>
      <w:r>
        <w:rPr>
          <w:rFonts w:hint="eastAsia" w:ascii="Times New Roman" w:hAnsi="Times New Roman" w:cs="Times New Roman"/>
          <w:bCs/>
        </w:rPr>
        <w:t>一、评审方法</w:t>
      </w:r>
    </w:p>
    <w:p w14:paraId="026EC740">
      <w:pPr>
        <w:spacing w:line="360" w:lineRule="auto"/>
        <w:ind w:firstLine="480" w:firstLineChars="200"/>
        <w:jc w:val="both"/>
        <w:rPr>
          <w:rFonts w:ascii="Times New Roman" w:hAnsi="Times New Roman" w:cs="Times New Roman"/>
          <w:bCs/>
        </w:rPr>
      </w:pPr>
      <w:r>
        <w:rPr>
          <w:rFonts w:hint="eastAsia" w:ascii="Times New Roman" w:hAnsi="Times New Roman" w:cs="Times New Roman"/>
          <w:bCs/>
        </w:rPr>
        <w:t>按综合评估法进行评审。</w:t>
      </w:r>
    </w:p>
    <w:p w14:paraId="6EDE92F3">
      <w:pPr>
        <w:spacing w:line="360" w:lineRule="auto"/>
        <w:ind w:firstLine="480" w:firstLineChars="200"/>
        <w:jc w:val="both"/>
        <w:rPr>
          <w:rFonts w:ascii="Times New Roman" w:hAnsi="Times New Roman" w:cs="Times New Roman"/>
          <w:bCs/>
        </w:rPr>
      </w:pPr>
      <w:r>
        <w:rPr>
          <w:rFonts w:hint="eastAsia" w:ascii="Times New Roman" w:hAnsi="Times New Roman" w:cs="Times New Roman"/>
          <w:bCs/>
        </w:rPr>
        <w:t>二、评审原则</w:t>
      </w:r>
    </w:p>
    <w:p w14:paraId="6BB87707">
      <w:pPr>
        <w:spacing w:line="360" w:lineRule="auto"/>
        <w:ind w:firstLine="480" w:firstLineChars="200"/>
        <w:jc w:val="both"/>
        <w:rPr>
          <w:rFonts w:ascii="Times New Roman" w:hAnsi="Times New Roman" w:cs="Times New Roman"/>
          <w:bCs/>
        </w:rPr>
      </w:pPr>
      <w:r>
        <w:rPr>
          <w:rFonts w:hint="eastAsia" w:ascii="Times New Roman" w:hAnsi="Times New Roman" w:cs="Times New Roman"/>
          <w:bCs/>
        </w:rPr>
        <w:t>评审遵循公平、公正、科学、择优的原则。</w:t>
      </w:r>
    </w:p>
    <w:p w14:paraId="1EBB36F7">
      <w:pPr>
        <w:spacing w:line="360" w:lineRule="auto"/>
        <w:ind w:firstLine="480" w:firstLineChars="200"/>
        <w:jc w:val="both"/>
        <w:rPr>
          <w:rFonts w:ascii="Times New Roman" w:hAnsi="Times New Roman" w:cs="Times New Roman"/>
          <w:bCs/>
        </w:rPr>
      </w:pPr>
      <w:r>
        <w:rPr>
          <w:rFonts w:hint="eastAsia" w:ascii="Times New Roman" w:hAnsi="Times New Roman" w:cs="Times New Roman"/>
          <w:bCs/>
        </w:rPr>
        <w:t>三、评审组织及服务</w:t>
      </w:r>
    </w:p>
    <w:p w14:paraId="0F38591B">
      <w:pPr>
        <w:spacing w:line="360" w:lineRule="auto"/>
        <w:ind w:firstLine="480" w:firstLineChars="200"/>
        <w:jc w:val="both"/>
        <w:rPr>
          <w:rFonts w:ascii="Times New Roman" w:hAnsi="Times New Roman" w:cs="Times New Roman"/>
          <w:bCs/>
        </w:rPr>
      </w:pPr>
      <w:r>
        <w:rPr>
          <w:rFonts w:hint="eastAsia" w:ascii="Times New Roman" w:hAnsi="Times New Roman" w:cs="Times New Roman"/>
          <w:bCs/>
        </w:rPr>
        <w:t>1、为做好评审工作，成立评审委员会和工作小组。</w:t>
      </w:r>
    </w:p>
    <w:p w14:paraId="7FBF1D32">
      <w:pPr>
        <w:spacing w:line="360" w:lineRule="auto"/>
        <w:ind w:firstLine="480" w:firstLineChars="200"/>
        <w:jc w:val="both"/>
        <w:rPr>
          <w:rFonts w:ascii="Times New Roman" w:hAnsi="Times New Roman" w:cs="Times New Roman"/>
          <w:bCs/>
        </w:rPr>
      </w:pPr>
      <w:r>
        <w:rPr>
          <w:rFonts w:hint="eastAsia" w:ascii="Times New Roman" w:hAnsi="Times New Roman" w:cs="Times New Roman"/>
          <w:bCs/>
        </w:rPr>
        <w:t>2、评审委员会</w:t>
      </w:r>
    </w:p>
    <w:p w14:paraId="61D016CD">
      <w:pPr>
        <w:spacing w:line="360" w:lineRule="auto"/>
        <w:ind w:firstLine="480" w:firstLineChars="200"/>
        <w:jc w:val="both"/>
        <w:rPr>
          <w:rFonts w:ascii="Times New Roman" w:hAnsi="Times New Roman" w:cs="Times New Roman"/>
          <w:bCs/>
        </w:rPr>
      </w:pPr>
      <w:r>
        <w:rPr>
          <w:rFonts w:hint="eastAsia" w:ascii="Times New Roman" w:hAnsi="Times New Roman" w:cs="Times New Roman"/>
          <w:bCs/>
        </w:rPr>
        <w:t>2.1评审委员会由采购人依法组建，评审委员会成员由采购人代表及熟悉相关业务的有关技术、经济等方面的专家组成。</w:t>
      </w:r>
    </w:p>
    <w:p w14:paraId="07079842">
      <w:pPr>
        <w:spacing w:line="360" w:lineRule="auto"/>
        <w:ind w:firstLine="480" w:firstLineChars="200"/>
        <w:jc w:val="both"/>
        <w:rPr>
          <w:rFonts w:ascii="Times New Roman" w:hAnsi="Times New Roman" w:cs="Times New Roman"/>
          <w:bCs/>
        </w:rPr>
      </w:pPr>
      <w:r>
        <w:rPr>
          <w:rFonts w:hint="eastAsia" w:ascii="Times New Roman" w:hAnsi="Times New Roman" w:cs="Times New Roman"/>
          <w:bCs/>
        </w:rPr>
        <w:t>2.2评审委员会成员为3人及以上单数。</w:t>
      </w:r>
    </w:p>
    <w:p w14:paraId="4968D107">
      <w:pPr>
        <w:spacing w:line="360" w:lineRule="auto"/>
        <w:ind w:firstLine="480" w:firstLineChars="200"/>
        <w:jc w:val="both"/>
        <w:rPr>
          <w:rFonts w:ascii="Times New Roman" w:hAnsi="Times New Roman" w:cs="Times New Roman"/>
          <w:bCs/>
        </w:rPr>
      </w:pPr>
      <w:r>
        <w:rPr>
          <w:rFonts w:hint="eastAsia" w:ascii="Times New Roman" w:hAnsi="Times New Roman" w:cs="Times New Roman"/>
          <w:bCs/>
        </w:rPr>
        <w:t>2.3评审工作由评审委员会负责。</w:t>
      </w:r>
    </w:p>
    <w:p w14:paraId="5527C418">
      <w:pPr>
        <w:spacing w:line="360" w:lineRule="auto"/>
        <w:ind w:firstLine="480" w:firstLineChars="200"/>
        <w:jc w:val="both"/>
        <w:rPr>
          <w:rFonts w:ascii="Times New Roman" w:hAnsi="Times New Roman" w:cs="Times New Roman"/>
          <w:bCs/>
        </w:rPr>
      </w:pPr>
      <w:r>
        <w:rPr>
          <w:rFonts w:hint="eastAsia" w:ascii="Times New Roman" w:hAnsi="Times New Roman" w:cs="Times New Roman"/>
          <w:bCs/>
        </w:rPr>
        <w:t>3、工作小组</w:t>
      </w:r>
    </w:p>
    <w:p w14:paraId="719AC2A7">
      <w:pPr>
        <w:spacing w:line="360" w:lineRule="auto"/>
        <w:ind w:firstLine="480" w:firstLineChars="200"/>
        <w:jc w:val="both"/>
        <w:rPr>
          <w:rFonts w:ascii="Times New Roman" w:hAnsi="Times New Roman" w:cs="Times New Roman"/>
          <w:bCs/>
        </w:rPr>
      </w:pPr>
      <w:r>
        <w:rPr>
          <w:rFonts w:hint="eastAsia" w:ascii="Times New Roman" w:hAnsi="Times New Roman" w:cs="Times New Roman"/>
          <w:bCs/>
        </w:rPr>
        <w:t>3.1由采购人组成工作小组，为评审委员会服务。</w:t>
      </w:r>
    </w:p>
    <w:p w14:paraId="592A7D1F">
      <w:pPr>
        <w:spacing w:line="360" w:lineRule="auto"/>
        <w:ind w:firstLine="480" w:firstLineChars="200"/>
        <w:jc w:val="both"/>
        <w:rPr>
          <w:rFonts w:ascii="Times New Roman" w:hAnsi="Times New Roman" w:cs="Times New Roman"/>
          <w:bCs/>
        </w:rPr>
      </w:pPr>
      <w:r>
        <w:rPr>
          <w:rFonts w:hint="eastAsia" w:ascii="Times New Roman" w:hAnsi="Times New Roman" w:cs="Times New Roman"/>
          <w:bCs/>
        </w:rPr>
        <w:t>3.2工作小组承担保管谈判文件、响应文件、发放评审资料、响应文件摘录汇总、基础数据对比及会议服务。</w:t>
      </w:r>
    </w:p>
    <w:p w14:paraId="4E0F0339">
      <w:pPr>
        <w:spacing w:line="360" w:lineRule="auto"/>
        <w:ind w:firstLine="480" w:firstLineChars="200"/>
        <w:jc w:val="both"/>
        <w:rPr>
          <w:rFonts w:ascii="Times New Roman" w:hAnsi="Times New Roman" w:cs="Times New Roman"/>
          <w:bCs/>
        </w:rPr>
      </w:pPr>
      <w:r>
        <w:rPr>
          <w:rFonts w:hint="eastAsia" w:ascii="Times New Roman" w:hAnsi="Times New Roman" w:cs="Times New Roman"/>
          <w:bCs/>
        </w:rPr>
        <w:t>四、评审程序及内容</w:t>
      </w:r>
    </w:p>
    <w:p w14:paraId="30FB904D">
      <w:pPr>
        <w:spacing w:line="360" w:lineRule="auto"/>
        <w:ind w:firstLine="480" w:firstLineChars="200"/>
        <w:jc w:val="both"/>
        <w:rPr>
          <w:rFonts w:ascii="Times New Roman" w:hAnsi="Times New Roman" w:cs="Times New Roman"/>
          <w:bCs/>
        </w:rPr>
      </w:pPr>
      <w:r>
        <w:rPr>
          <w:rFonts w:hint="eastAsia" w:ascii="Times New Roman" w:hAnsi="Times New Roman" w:cs="Times New Roman"/>
          <w:bCs/>
        </w:rPr>
        <w:t>1、评审方法：由资格审查、综合评估两部分。</w:t>
      </w:r>
    </w:p>
    <w:p w14:paraId="3DDBB7B5">
      <w:pPr>
        <w:spacing w:line="360" w:lineRule="auto"/>
        <w:ind w:firstLine="480" w:firstLineChars="200"/>
        <w:jc w:val="both"/>
        <w:rPr>
          <w:rFonts w:ascii="Times New Roman" w:hAnsi="Times New Roman" w:cs="Times New Roman"/>
          <w:bCs/>
        </w:rPr>
      </w:pPr>
      <w:r>
        <w:rPr>
          <w:rFonts w:hint="eastAsia" w:ascii="Times New Roman" w:hAnsi="Times New Roman" w:cs="Times New Roman"/>
          <w:bCs/>
        </w:rPr>
        <w:t>2、资格审查：按对投标人的资格要求、缴纳保证金等情况进行评审。详见《资格审查表》。</w:t>
      </w:r>
    </w:p>
    <w:p w14:paraId="31237D83">
      <w:pPr>
        <w:spacing w:line="360" w:lineRule="auto"/>
        <w:ind w:firstLine="480" w:firstLineChars="200"/>
        <w:jc w:val="both"/>
        <w:rPr>
          <w:rFonts w:ascii="Times New Roman" w:hAnsi="Times New Roman" w:cs="Times New Roman"/>
          <w:bCs/>
        </w:rPr>
      </w:pPr>
      <w:r>
        <w:rPr>
          <w:rFonts w:hint="eastAsia" w:ascii="Times New Roman" w:hAnsi="Times New Roman" w:cs="Times New Roman"/>
          <w:bCs/>
        </w:rPr>
        <w:t>3、综合评估：通过资格审查后，根据投标人的商务、技术和价格等进行综合评估。</w:t>
      </w:r>
    </w:p>
    <w:p w14:paraId="3992CD80">
      <w:pPr>
        <w:spacing w:line="360" w:lineRule="auto"/>
        <w:ind w:firstLine="480" w:firstLineChars="200"/>
        <w:jc w:val="both"/>
        <w:rPr>
          <w:rFonts w:ascii="Times New Roman" w:hAnsi="Times New Roman" w:cs="Times New Roman"/>
          <w:bCs/>
        </w:rPr>
      </w:pPr>
      <w:r>
        <w:rPr>
          <w:rFonts w:hint="eastAsia" w:ascii="Times New Roman" w:hAnsi="Times New Roman" w:cs="Times New Roman"/>
          <w:bCs/>
        </w:rPr>
        <w:t>五、评审报告</w:t>
      </w:r>
    </w:p>
    <w:p w14:paraId="4FE28935">
      <w:pPr>
        <w:spacing w:line="360" w:lineRule="auto"/>
        <w:ind w:firstLine="480" w:firstLineChars="200"/>
        <w:jc w:val="both"/>
        <w:rPr>
          <w:rFonts w:ascii="Times New Roman" w:hAnsi="Times New Roman" w:cs="Times New Roman"/>
          <w:bCs/>
        </w:rPr>
      </w:pPr>
      <w:r>
        <w:rPr>
          <w:rFonts w:hint="eastAsia" w:ascii="Times New Roman" w:hAnsi="Times New Roman" w:cs="Times New Roman"/>
          <w:bCs/>
        </w:rPr>
        <w:t>1、评审委员会根据评审情况和结果，向采购人提交评审报告。评审报告由评审委员会起草，评审委员会全体成员应在评审报告上签字确认，评审专家如有保留意见可以在评审报告中阐明。</w:t>
      </w:r>
    </w:p>
    <w:p w14:paraId="40B68AB3">
      <w:pPr>
        <w:spacing w:line="360" w:lineRule="auto"/>
        <w:ind w:firstLine="480" w:firstLineChars="200"/>
        <w:jc w:val="both"/>
        <w:rPr>
          <w:rFonts w:ascii="Times New Roman" w:hAnsi="Times New Roman" w:cs="Times New Roman"/>
          <w:bCs/>
        </w:rPr>
      </w:pPr>
      <w:r>
        <w:rPr>
          <w:rFonts w:hint="eastAsia" w:ascii="Times New Roman" w:hAnsi="Times New Roman" w:cs="Times New Roman"/>
          <w:bCs/>
        </w:rPr>
        <w:t>2、评审委员会在评审报告中根据综合得分高低排序推荐前一至二名为成交候选人。</w:t>
      </w:r>
    </w:p>
    <w:p w14:paraId="35F3C3B4">
      <w:pPr>
        <w:widowControl/>
        <w:rPr>
          <w:rFonts w:ascii="Times New Roman" w:hAnsi="Times New Roman" w:cs="Times New Roman"/>
          <w:bCs/>
        </w:rPr>
      </w:pPr>
      <w:r>
        <w:rPr>
          <w:rFonts w:ascii="Times New Roman" w:hAnsi="Times New Roman" w:cs="Times New Roman"/>
          <w:bCs/>
        </w:rPr>
        <w:br w:type="page"/>
      </w:r>
    </w:p>
    <w:p w14:paraId="63A79F97">
      <w:pPr>
        <w:keepNext/>
        <w:keepLines/>
        <w:spacing w:before="260" w:after="260" w:line="415" w:lineRule="auto"/>
        <w:outlineLvl w:val="1"/>
        <w:rPr>
          <w:rFonts w:ascii="Times New Roman" w:hAnsi="Times New Roman" w:cs="Times New Roman"/>
          <w:bCs/>
        </w:rPr>
      </w:pPr>
      <w:r>
        <w:rPr>
          <w:rFonts w:ascii="Times New Roman" w:hAnsi="Times New Roman" w:cs="Times New Roman"/>
          <w:bCs/>
        </w:rPr>
        <w:t>附件</w:t>
      </w:r>
      <w:r>
        <w:rPr>
          <w:rFonts w:hint="eastAsia" w:ascii="Times New Roman" w:hAnsi="Times New Roman" w:cs="Times New Roman"/>
          <w:bCs/>
        </w:rPr>
        <w:t>A</w:t>
      </w:r>
      <w:r>
        <w:rPr>
          <w:rFonts w:ascii="Times New Roman" w:hAnsi="Times New Roman" w:cs="Times New Roman"/>
          <w:bCs/>
        </w:rPr>
        <w:t>：</w:t>
      </w:r>
      <w:r>
        <w:rPr>
          <w:rFonts w:hint="eastAsia" w:ascii="Times New Roman" w:hAnsi="Times New Roman" w:cs="Times New Roman"/>
          <w:bCs/>
        </w:rPr>
        <w:t>资格审查</w:t>
      </w:r>
    </w:p>
    <w:p w14:paraId="30A23D79">
      <w:pPr>
        <w:jc w:val="center"/>
        <w:rPr>
          <w:b/>
          <w:sz w:val="30"/>
          <w:szCs w:val="30"/>
        </w:rPr>
      </w:pPr>
      <w:r>
        <w:rPr>
          <w:rFonts w:hint="eastAsia"/>
          <w:b/>
          <w:sz w:val="30"/>
          <w:szCs w:val="30"/>
        </w:rPr>
        <w:t>1.资格审查表</w:t>
      </w:r>
    </w:p>
    <w:p w14:paraId="5B1D07B9">
      <w:pPr>
        <w:ind w:left="-809" w:leftChars="-337" w:firstLine="720" w:firstLineChars="300"/>
        <w:rPr>
          <w:szCs w:val="21"/>
        </w:rPr>
      </w:pPr>
      <w:r>
        <w:rPr>
          <w:rFonts w:hint="eastAsia"/>
          <w:szCs w:val="21"/>
        </w:rPr>
        <w:t>编号：                 谈判时间：  年 月 日      审查日期：</w:t>
      </w:r>
    </w:p>
    <w:tbl>
      <w:tblPr>
        <w:tblStyle w:val="23"/>
        <w:tblW w:w="0" w:type="auto"/>
        <w:jc w:val="center"/>
        <w:tblLayout w:type="autofit"/>
        <w:tblCellMar>
          <w:top w:w="0" w:type="dxa"/>
          <w:left w:w="108" w:type="dxa"/>
          <w:bottom w:w="0" w:type="dxa"/>
          <w:right w:w="108" w:type="dxa"/>
        </w:tblCellMar>
      </w:tblPr>
      <w:tblGrid>
        <w:gridCol w:w="531"/>
        <w:gridCol w:w="1174"/>
        <w:gridCol w:w="1262"/>
        <w:gridCol w:w="1216"/>
        <w:gridCol w:w="769"/>
        <w:gridCol w:w="708"/>
        <w:gridCol w:w="1703"/>
        <w:gridCol w:w="1694"/>
        <w:gridCol w:w="222"/>
      </w:tblGrid>
      <w:tr w14:paraId="46F8C4E9">
        <w:tblPrEx>
          <w:tblCellMar>
            <w:top w:w="0" w:type="dxa"/>
            <w:left w:w="108" w:type="dxa"/>
            <w:bottom w:w="0" w:type="dxa"/>
            <w:right w:w="108" w:type="dxa"/>
          </w:tblCellMar>
        </w:tblPrEx>
        <w:trPr>
          <w:gridAfter w:val="1"/>
          <w:wAfter w:w="222" w:type="dxa"/>
          <w:trHeight w:val="300" w:hRule="atLeast"/>
          <w:jc w:val="center"/>
        </w:trPr>
        <w:tc>
          <w:tcPr>
            <w:tcW w:w="1705" w:type="dxa"/>
            <w:gridSpan w:val="2"/>
            <w:tcBorders>
              <w:top w:val="single" w:color="auto" w:sz="8" w:space="0"/>
              <w:left w:val="single" w:color="auto" w:sz="8" w:space="0"/>
              <w:bottom w:val="single" w:color="auto" w:sz="8" w:space="0"/>
              <w:right w:val="single" w:color="000000" w:sz="8" w:space="0"/>
            </w:tcBorders>
            <w:noWrap/>
            <w:vAlign w:val="center"/>
          </w:tcPr>
          <w:p w14:paraId="03BE29F7">
            <w:pPr>
              <w:jc w:val="center"/>
              <w:rPr>
                <w:szCs w:val="21"/>
              </w:rPr>
            </w:pPr>
            <w:r>
              <w:rPr>
                <w:rFonts w:hint="eastAsia"/>
                <w:szCs w:val="21"/>
              </w:rPr>
              <w:t>谈判名称</w:t>
            </w:r>
          </w:p>
        </w:tc>
        <w:tc>
          <w:tcPr>
            <w:tcW w:w="7352" w:type="dxa"/>
            <w:gridSpan w:val="6"/>
            <w:tcBorders>
              <w:top w:val="single" w:color="auto" w:sz="8" w:space="0"/>
              <w:left w:val="nil"/>
              <w:bottom w:val="single" w:color="auto" w:sz="8" w:space="0"/>
              <w:right w:val="single" w:color="000000" w:sz="8" w:space="0"/>
            </w:tcBorders>
            <w:noWrap/>
            <w:vAlign w:val="center"/>
          </w:tcPr>
          <w:p w14:paraId="315C8F78">
            <w:pPr>
              <w:jc w:val="center"/>
              <w:rPr>
                <w:szCs w:val="21"/>
              </w:rPr>
            </w:pPr>
          </w:p>
        </w:tc>
      </w:tr>
      <w:tr w14:paraId="621A243D">
        <w:tblPrEx>
          <w:tblCellMar>
            <w:top w:w="0" w:type="dxa"/>
            <w:left w:w="108" w:type="dxa"/>
            <w:bottom w:w="0" w:type="dxa"/>
            <w:right w:w="108" w:type="dxa"/>
          </w:tblCellMar>
        </w:tblPrEx>
        <w:trPr>
          <w:gridAfter w:val="1"/>
          <w:wAfter w:w="222" w:type="dxa"/>
          <w:trHeight w:val="300" w:hRule="atLeast"/>
          <w:jc w:val="center"/>
        </w:trPr>
        <w:tc>
          <w:tcPr>
            <w:tcW w:w="1705" w:type="dxa"/>
            <w:gridSpan w:val="2"/>
            <w:tcBorders>
              <w:top w:val="single" w:color="auto" w:sz="8" w:space="0"/>
              <w:left w:val="single" w:color="auto" w:sz="8" w:space="0"/>
              <w:bottom w:val="single" w:color="auto" w:sz="8" w:space="0"/>
              <w:right w:val="single" w:color="000000" w:sz="8" w:space="0"/>
            </w:tcBorders>
            <w:noWrap/>
            <w:vAlign w:val="center"/>
          </w:tcPr>
          <w:p w14:paraId="50A70213">
            <w:pPr>
              <w:jc w:val="center"/>
              <w:rPr>
                <w:szCs w:val="21"/>
              </w:rPr>
            </w:pPr>
            <w:r>
              <w:rPr>
                <w:rFonts w:hint="eastAsia"/>
                <w:szCs w:val="21"/>
              </w:rPr>
              <w:t>谈判内容</w:t>
            </w:r>
          </w:p>
        </w:tc>
        <w:tc>
          <w:tcPr>
            <w:tcW w:w="7352" w:type="dxa"/>
            <w:gridSpan w:val="6"/>
            <w:tcBorders>
              <w:top w:val="single" w:color="auto" w:sz="8" w:space="0"/>
              <w:left w:val="nil"/>
              <w:bottom w:val="single" w:color="auto" w:sz="8" w:space="0"/>
              <w:right w:val="single" w:color="000000" w:sz="8" w:space="0"/>
            </w:tcBorders>
            <w:noWrap/>
            <w:vAlign w:val="center"/>
          </w:tcPr>
          <w:p w14:paraId="32076E2B">
            <w:pPr>
              <w:jc w:val="center"/>
              <w:rPr>
                <w:szCs w:val="21"/>
              </w:rPr>
            </w:pPr>
          </w:p>
        </w:tc>
      </w:tr>
      <w:tr w14:paraId="36496A7C">
        <w:tblPrEx>
          <w:tblCellMar>
            <w:top w:w="0" w:type="dxa"/>
            <w:left w:w="108" w:type="dxa"/>
            <w:bottom w:w="0" w:type="dxa"/>
            <w:right w:w="108" w:type="dxa"/>
          </w:tblCellMar>
        </w:tblPrEx>
        <w:trPr>
          <w:gridAfter w:val="1"/>
          <w:wAfter w:w="222" w:type="dxa"/>
          <w:trHeight w:val="300" w:hRule="atLeast"/>
          <w:jc w:val="center"/>
        </w:trPr>
        <w:tc>
          <w:tcPr>
            <w:tcW w:w="531" w:type="dxa"/>
            <w:tcBorders>
              <w:top w:val="nil"/>
              <w:left w:val="single" w:color="auto" w:sz="8" w:space="0"/>
              <w:bottom w:val="single" w:color="auto" w:sz="8" w:space="0"/>
              <w:right w:val="single" w:color="auto" w:sz="8" w:space="0"/>
            </w:tcBorders>
            <w:noWrap/>
            <w:vAlign w:val="center"/>
          </w:tcPr>
          <w:p w14:paraId="1FED0FFA">
            <w:pPr>
              <w:jc w:val="center"/>
              <w:rPr>
                <w:szCs w:val="21"/>
              </w:rPr>
            </w:pPr>
            <w:r>
              <w:rPr>
                <w:rFonts w:hint="eastAsia"/>
                <w:szCs w:val="21"/>
              </w:rPr>
              <w:t>序号</w:t>
            </w:r>
          </w:p>
        </w:tc>
        <w:tc>
          <w:tcPr>
            <w:tcW w:w="2436" w:type="dxa"/>
            <w:gridSpan w:val="2"/>
            <w:tcBorders>
              <w:top w:val="single" w:color="auto" w:sz="8" w:space="0"/>
              <w:left w:val="nil"/>
              <w:bottom w:val="single" w:color="auto" w:sz="8" w:space="0"/>
              <w:right w:val="single" w:color="000000" w:sz="8" w:space="0"/>
            </w:tcBorders>
            <w:noWrap/>
            <w:vAlign w:val="center"/>
          </w:tcPr>
          <w:p w14:paraId="648ABF29">
            <w:pPr>
              <w:jc w:val="center"/>
              <w:rPr>
                <w:szCs w:val="21"/>
              </w:rPr>
            </w:pPr>
            <w:r>
              <w:rPr>
                <w:rFonts w:hint="eastAsia"/>
                <w:szCs w:val="21"/>
              </w:rPr>
              <w:t>报名单位</w:t>
            </w:r>
          </w:p>
        </w:tc>
        <w:tc>
          <w:tcPr>
            <w:tcW w:w="1216" w:type="dxa"/>
            <w:tcBorders>
              <w:top w:val="nil"/>
              <w:left w:val="nil"/>
              <w:bottom w:val="single" w:color="auto" w:sz="8" w:space="0"/>
              <w:right w:val="single" w:color="auto" w:sz="8" w:space="0"/>
            </w:tcBorders>
            <w:noWrap/>
            <w:vAlign w:val="center"/>
          </w:tcPr>
          <w:p w14:paraId="39D483D4">
            <w:pPr>
              <w:jc w:val="center"/>
              <w:rPr>
                <w:szCs w:val="21"/>
              </w:rPr>
            </w:pPr>
            <w:r>
              <w:rPr>
                <w:rFonts w:hint="eastAsia"/>
                <w:szCs w:val="21"/>
              </w:rPr>
              <w:t>注册资金</w:t>
            </w:r>
          </w:p>
        </w:tc>
        <w:tc>
          <w:tcPr>
            <w:tcW w:w="769" w:type="dxa"/>
            <w:tcBorders>
              <w:top w:val="nil"/>
              <w:left w:val="nil"/>
              <w:bottom w:val="single" w:color="auto" w:sz="8" w:space="0"/>
              <w:right w:val="single" w:color="auto" w:sz="8" w:space="0"/>
            </w:tcBorders>
            <w:vAlign w:val="center"/>
          </w:tcPr>
          <w:p w14:paraId="28D22021">
            <w:pPr>
              <w:jc w:val="center"/>
              <w:rPr>
                <w:szCs w:val="21"/>
              </w:rPr>
            </w:pPr>
            <w:r>
              <w:rPr>
                <w:rFonts w:hint="eastAsia"/>
                <w:szCs w:val="21"/>
              </w:rPr>
              <w:t>业绩</w:t>
            </w:r>
          </w:p>
        </w:tc>
        <w:tc>
          <w:tcPr>
            <w:tcW w:w="708" w:type="dxa"/>
            <w:tcBorders>
              <w:top w:val="nil"/>
              <w:left w:val="nil"/>
              <w:bottom w:val="single" w:color="auto" w:sz="8" w:space="0"/>
              <w:right w:val="single" w:color="auto" w:sz="8" w:space="0"/>
            </w:tcBorders>
            <w:noWrap/>
            <w:vAlign w:val="center"/>
          </w:tcPr>
          <w:p w14:paraId="202749BD">
            <w:pPr>
              <w:jc w:val="center"/>
              <w:rPr>
                <w:szCs w:val="21"/>
              </w:rPr>
            </w:pPr>
            <w:r>
              <w:rPr>
                <w:rFonts w:hint="eastAsia"/>
                <w:szCs w:val="21"/>
              </w:rPr>
              <w:t>联系人</w:t>
            </w:r>
          </w:p>
        </w:tc>
        <w:tc>
          <w:tcPr>
            <w:tcW w:w="1703" w:type="dxa"/>
            <w:tcBorders>
              <w:top w:val="nil"/>
              <w:left w:val="nil"/>
              <w:bottom w:val="single" w:color="auto" w:sz="8" w:space="0"/>
              <w:right w:val="single" w:color="auto" w:sz="8" w:space="0"/>
            </w:tcBorders>
            <w:noWrap/>
            <w:vAlign w:val="center"/>
          </w:tcPr>
          <w:p w14:paraId="1E449088">
            <w:pPr>
              <w:jc w:val="center"/>
              <w:rPr>
                <w:szCs w:val="21"/>
              </w:rPr>
            </w:pPr>
            <w:r>
              <w:rPr>
                <w:rFonts w:hint="eastAsia"/>
                <w:szCs w:val="21"/>
              </w:rPr>
              <w:t>联系电话</w:t>
            </w:r>
          </w:p>
        </w:tc>
        <w:tc>
          <w:tcPr>
            <w:tcW w:w="1694" w:type="dxa"/>
            <w:tcBorders>
              <w:top w:val="nil"/>
              <w:left w:val="nil"/>
              <w:bottom w:val="single" w:color="auto" w:sz="8" w:space="0"/>
              <w:right w:val="single" w:color="auto" w:sz="8" w:space="0"/>
            </w:tcBorders>
            <w:noWrap/>
            <w:vAlign w:val="center"/>
          </w:tcPr>
          <w:p w14:paraId="47698613">
            <w:pPr>
              <w:jc w:val="center"/>
              <w:rPr>
                <w:szCs w:val="21"/>
              </w:rPr>
            </w:pPr>
            <w:r>
              <w:rPr>
                <w:rFonts w:hint="eastAsia"/>
                <w:szCs w:val="21"/>
              </w:rPr>
              <w:t>包号</w:t>
            </w:r>
          </w:p>
        </w:tc>
      </w:tr>
      <w:tr w14:paraId="7F0B9DA1">
        <w:tblPrEx>
          <w:tblCellMar>
            <w:top w:w="0" w:type="dxa"/>
            <w:left w:w="108" w:type="dxa"/>
            <w:bottom w:w="0" w:type="dxa"/>
            <w:right w:w="108" w:type="dxa"/>
          </w:tblCellMar>
        </w:tblPrEx>
        <w:trPr>
          <w:gridAfter w:val="1"/>
          <w:wAfter w:w="222" w:type="dxa"/>
          <w:trHeight w:val="300" w:hRule="atLeast"/>
          <w:jc w:val="center"/>
        </w:trPr>
        <w:tc>
          <w:tcPr>
            <w:tcW w:w="531" w:type="dxa"/>
            <w:tcBorders>
              <w:top w:val="nil"/>
              <w:left w:val="single" w:color="auto" w:sz="8" w:space="0"/>
              <w:bottom w:val="single" w:color="auto" w:sz="8" w:space="0"/>
              <w:right w:val="single" w:color="auto" w:sz="8" w:space="0"/>
            </w:tcBorders>
            <w:noWrap/>
            <w:vAlign w:val="center"/>
          </w:tcPr>
          <w:p w14:paraId="3986D9E2">
            <w:pPr>
              <w:jc w:val="center"/>
              <w:rPr>
                <w:szCs w:val="21"/>
              </w:rPr>
            </w:pPr>
            <w:r>
              <w:rPr>
                <w:rFonts w:hint="eastAsia"/>
                <w:szCs w:val="21"/>
              </w:rPr>
              <w:t>1</w:t>
            </w:r>
          </w:p>
        </w:tc>
        <w:tc>
          <w:tcPr>
            <w:tcW w:w="2436" w:type="dxa"/>
            <w:gridSpan w:val="2"/>
            <w:tcBorders>
              <w:top w:val="single" w:color="auto" w:sz="8" w:space="0"/>
              <w:left w:val="nil"/>
              <w:bottom w:val="single" w:color="auto" w:sz="8" w:space="0"/>
              <w:right w:val="single" w:color="000000" w:sz="8" w:space="0"/>
            </w:tcBorders>
            <w:noWrap/>
            <w:vAlign w:val="center"/>
          </w:tcPr>
          <w:p w14:paraId="05618DD8">
            <w:pPr>
              <w:jc w:val="center"/>
              <w:rPr>
                <w:szCs w:val="21"/>
              </w:rPr>
            </w:pPr>
            <w:r>
              <w:rPr>
                <w:rFonts w:hint="eastAsia"/>
                <w:szCs w:val="21"/>
              </w:rPr>
              <w:t>　</w:t>
            </w:r>
          </w:p>
        </w:tc>
        <w:tc>
          <w:tcPr>
            <w:tcW w:w="1216" w:type="dxa"/>
            <w:tcBorders>
              <w:top w:val="nil"/>
              <w:left w:val="nil"/>
              <w:bottom w:val="single" w:color="auto" w:sz="8" w:space="0"/>
              <w:right w:val="single" w:color="auto" w:sz="8" w:space="0"/>
            </w:tcBorders>
            <w:noWrap/>
            <w:vAlign w:val="center"/>
          </w:tcPr>
          <w:p w14:paraId="0A8B49AD">
            <w:pPr>
              <w:jc w:val="center"/>
              <w:rPr>
                <w:szCs w:val="21"/>
              </w:rPr>
            </w:pPr>
            <w:r>
              <w:rPr>
                <w:rFonts w:hint="eastAsia"/>
                <w:szCs w:val="21"/>
              </w:rPr>
              <w:t>　</w:t>
            </w:r>
          </w:p>
        </w:tc>
        <w:tc>
          <w:tcPr>
            <w:tcW w:w="769" w:type="dxa"/>
            <w:tcBorders>
              <w:top w:val="nil"/>
              <w:left w:val="nil"/>
              <w:bottom w:val="single" w:color="auto" w:sz="8" w:space="0"/>
              <w:right w:val="single" w:color="auto" w:sz="8" w:space="0"/>
            </w:tcBorders>
            <w:noWrap/>
            <w:vAlign w:val="center"/>
          </w:tcPr>
          <w:p w14:paraId="1C9619C9">
            <w:pPr>
              <w:jc w:val="center"/>
              <w:rPr>
                <w:szCs w:val="21"/>
              </w:rPr>
            </w:pPr>
            <w:r>
              <w:rPr>
                <w:rFonts w:hint="eastAsia"/>
                <w:szCs w:val="21"/>
              </w:rPr>
              <w:t>　</w:t>
            </w:r>
          </w:p>
        </w:tc>
        <w:tc>
          <w:tcPr>
            <w:tcW w:w="708" w:type="dxa"/>
            <w:tcBorders>
              <w:top w:val="nil"/>
              <w:left w:val="nil"/>
              <w:bottom w:val="single" w:color="auto" w:sz="8" w:space="0"/>
              <w:right w:val="single" w:color="auto" w:sz="8" w:space="0"/>
            </w:tcBorders>
            <w:noWrap/>
            <w:vAlign w:val="center"/>
          </w:tcPr>
          <w:p w14:paraId="456806BE">
            <w:pPr>
              <w:jc w:val="center"/>
              <w:rPr>
                <w:szCs w:val="21"/>
              </w:rPr>
            </w:pPr>
            <w:r>
              <w:rPr>
                <w:rFonts w:hint="eastAsia"/>
                <w:szCs w:val="21"/>
              </w:rPr>
              <w:t>　</w:t>
            </w:r>
          </w:p>
        </w:tc>
        <w:tc>
          <w:tcPr>
            <w:tcW w:w="1703" w:type="dxa"/>
            <w:tcBorders>
              <w:top w:val="nil"/>
              <w:left w:val="nil"/>
              <w:bottom w:val="single" w:color="auto" w:sz="8" w:space="0"/>
              <w:right w:val="single" w:color="auto" w:sz="8" w:space="0"/>
            </w:tcBorders>
            <w:noWrap/>
            <w:vAlign w:val="center"/>
          </w:tcPr>
          <w:p w14:paraId="42D76EE1">
            <w:pPr>
              <w:jc w:val="center"/>
              <w:rPr>
                <w:szCs w:val="21"/>
              </w:rPr>
            </w:pPr>
            <w:r>
              <w:rPr>
                <w:rFonts w:hint="eastAsia"/>
                <w:szCs w:val="21"/>
              </w:rPr>
              <w:t>　</w:t>
            </w:r>
          </w:p>
        </w:tc>
        <w:tc>
          <w:tcPr>
            <w:tcW w:w="1694" w:type="dxa"/>
            <w:tcBorders>
              <w:top w:val="nil"/>
              <w:left w:val="nil"/>
              <w:bottom w:val="single" w:color="auto" w:sz="8" w:space="0"/>
              <w:right w:val="single" w:color="auto" w:sz="8" w:space="0"/>
            </w:tcBorders>
            <w:noWrap/>
            <w:vAlign w:val="center"/>
          </w:tcPr>
          <w:p w14:paraId="5DC58EFE">
            <w:pPr>
              <w:jc w:val="center"/>
              <w:rPr>
                <w:szCs w:val="21"/>
              </w:rPr>
            </w:pPr>
            <w:r>
              <w:rPr>
                <w:rFonts w:hint="eastAsia"/>
                <w:szCs w:val="21"/>
              </w:rPr>
              <w:t>　</w:t>
            </w:r>
          </w:p>
        </w:tc>
      </w:tr>
      <w:tr w14:paraId="40016937">
        <w:tblPrEx>
          <w:tblCellMar>
            <w:top w:w="0" w:type="dxa"/>
            <w:left w:w="108" w:type="dxa"/>
            <w:bottom w:w="0" w:type="dxa"/>
            <w:right w:w="108" w:type="dxa"/>
          </w:tblCellMar>
        </w:tblPrEx>
        <w:trPr>
          <w:gridAfter w:val="1"/>
          <w:wAfter w:w="222" w:type="dxa"/>
          <w:trHeight w:val="300" w:hRule="atLeast"/>
          <w:jc w:val="center"/>
        </w:trPr>
        <w:tc>
          <w:tcPr>
            <w:tcW w:w="531" w:type="dxa"/>
            <w:tcBorders>
              <w:top w:val="nil"/>
              <w:left w:val="single" w:color="auto" w:sz="8" w:space="0"/>
              <w:bottom w:val="single" w:color="auto" w:sz="8" w:space="0"/>
              <w:right w:val="single" w:color="auto" w:sz="8" w:space="0"/>
            </w:tcBorders>
            <w:noWrap/>
            <w:vAlign w:val="center"/>
          </w:tcPr>
          <w:p w14:paraId="7BAB3740">
            <w:pPr>
              <w:jc w:val="center"/>
              <w:rPr>
                <w:szCs w:val="21"/>
              </w:rPr>
            </w:pPr>
            <w:r>
              <w:rPr>
                <w:rFonts w:hint="eastAsia"/>
                <w:szCs w:val="21"/>
              </w:rPr>
              <w:t>2</w:t>
            </w:r>
          </w:p>
        </w:tc>
        <w:tc>
          <w:tcPr>
            <w:tcW w:w="2436" w:type="dxa"/>
            <w:gridSpan w:val="2"/>
            <w:tcBorders>
              <w:top w:val="single" w:color="auto" w:sz="8" w:space="0"/>
              <w:left w:val="nil"/>
              <w:bottom w:val="single" w:color="auto" w:sz="8" w:space="0"/>
              <w:right w:val="single" w:color="000000" w:sz="8" w:space="0"/>
            </w:tcBorders>
            <w:noWrap/>
            <w:vAlign w:val="center"/>
          </w:tcPr>
          <w:p w14:paraId="72738590">
            <w:pPr>
              <w:jc w:val="center"/>
              <w:rPr>
                <w:szCs w:val="21"/>
              </w:rPr>
            </w:pPr>
            <w:r>
              <w:rPr>
                <w:rFonts w:hint="eastAsia"/>
                <w:szCs w:val="21"/>
              </w:rPr>
              <w:t>　</w:t>
            </w:r>
          </w:p>
        </w:tc>
        <w:tc>
          <w:tcPr>
            <w:tcW w:w="1216" w:type="dxa"/>
            <w:tcBorders>
              <w:top w:val="nil"/>
              <w:left w:val="nil"/>
              <w:bottom w:val="single" w:color="auto" w:sz="8" w:space="0"/>
              <w:right w:val="single" w:color="auto" w:sz="8" w:space="0"/>
            </w:tcBorders>
            <w:noWrap/>
            <w:vAlign w:val="center"/>
          </w:tcPr>
          <w:p w14:paraId="54D7D421">
            <w:pPr>
              <w:jc w:val="center"/>
              <w:rPr>
                <w:szCs w:val="21"/>
              </w:rPr>
            </w:pPr>
            <w:r>
              <w:rPr>
                <w:rFonts w:hint="eastAsia"/>
                <w:szCs w:val="21"/>
              </w:rPr>
              <w:t>　</w:t>
            </w:r>
          </w:p>
        </w:tc>
        <w:tc>
          <w:tcPr>
            <w:tcW w:w="769" w:type="dxa"/>
            <w:tcBorders>
              <w:top w:val="nil"/>
              <w:left w:val="nil"/>
              <w:bottom w:val="single" w:color="auto" w:sz="8" w:space="0"/>
              <w:right w:val="single" w:color="auto" w:sz="8" w:space="0"/>
            </w:tcBorders>
            <w:noWrap/>
            <w:vAlign w:val="center"/>
          </w:tcPr>
          <w:p w14:paraId="76F1E8B3">
            <w:pPr>
              <w:jc w:val="center"/>
              <w:rPr>
                <w:szCs w:val="21"/>
              </w:rPr>
            </w:pPr>
            <w:r>
              <w:rPr>
                <w:rFonts w:hint="eastAsia"/>
                <w:szCs w:val="21"/>
              </w:rPr>
              <w:t>　</w:t>
            </w:r>
          </w:p>
        </w:tc>
        <w:tc>
          <w:tcPr>
            <w:tcW w:w="708" w:type="dxa"/>
            <w:tcBorders>
              <w:top w:val="nil"/>
              <w:left w:val="nil"/>
              <w:bottom w:val="single" w:color="auto" w:sz="8" w:space="0"/>
              <w:right w:val="single" w:color="auto" w:sz="8" w:space="0"/>
            </w:tcBorders>
            <w:noWrap/>
            <w:vAlign w:val="center"/>
          </w:tcPr>
          <w:p w14:paraId="39791EC1">
            <w:pPr>
              <w:jc w:val="center"/>
              <w:rPr>
                <w:szCs w:val="21"/>
              </w:rPr>
            </w:pPr>
            <w:r>
              <w:rPr>
                <w:rFonts w:hint="eastAsia"/>
                <w:szCs w:val="21"/>
              </w:rPr>
              <w:t>　</w:t>
            </w:r>
          </w:p>
        </w:tc>
        <w:tc>
          <w:tcPr>
            <w:tcW w:w="1703" w:type="dxa"/>
            <w:tcBorders>
              <w:top w:val="nil"/>
              <w:left w:val="nil"/>
              <w:bottom w:val="single" w:color="auto" w:sz="8" w:space="0"/>
              <w:right w:val="single" w:color="auto" w:sz="8" w:space="0"/>
            </w:tcBorders>
            <w:noWrap/>
            <w:vAlign w:val="center"/>
          </w:tcPr>
          <w:p w14:paraId="769D922D">
            <w:pPr>
              <w:jc w:val="center"/>
              <w:rPr>
                <w:szCs w:val="21"/>
              </w:rPr>
            </w:pPr>
            <w:r>
              <w:rPr>
                <w:rFonts w:hint="eastAsia"/>
                <w:szCs w:val="21"/>
              </w:rPr>
              <w:t>　</w:t>
            </w:r>
          </w:p>
        </w:tc>
        <w:tc>
          <w:tcPr>
            <w:tcW w:w="1694" w:type="dxa"/>
            <w:tcBorders>
              <w:top w:val="nil"/>
              <w:left w:val="nil"/>
              <w:bottom w:val="single" w:color="auto" w:sz="8" w:space="0"/>
              <w:right w:val="single" w:color="auto" w:sz="8" w:space="0"/>
            </w:tcBorders>
            <w:noWrap/>
            <w:vAlign w:val="center"/>
          </w:tcPr>
          <w:p w14:paraId="15FDADCE">
            <w:pPr>
              <w:jc w:val="center"/>
              <w:rPr>
                <w:szCs w:val="21"/>
              </w:rPr>
            </w:pPr>
            <w:r>
              <w:rPr>
                <w:rFonts w:hint="eastAsia"/>
                <w:szCs w:val="21"/>
              </w:rPr>
              <w:t>　</w:t>
            </w:r>
          </w:p>
        </w:tc>
      </w:tr>
      <w:tr w14:paraId="36247F45">
        <w:tblPrEx>
          <w:tblCellMar>
            <w:top w:w="0" w:type="dxa"/>
            <w:left w:w="108" w:type="dxa"/>
            <w:bottom w:w="0" w:type="dxa"/>
            <w:right w:w="108" w:type="dxa"/>
          </w:tblCellMar>
        </w:tblPrEx>
        <w:trPr>
          <w:gridAfter w:val="1"/>
          <w:wAfter w:w="222" w:type="dxa"/>
          <w:trHeight w:val="300" w:hRule="atLeast"/>
          <w:jc w:val="center"/>
        </w:trPr>
        <w:tc>
          <w:tcPr>
            <w:tcW w:w="531" w:type="dxa"/>
            <w:tcBorders>
              <w:top w:val="nil"/>
              <w:left w:val="single" w:color="auto" w:sz="8" w:space="0"/>
              <w:bottom w:val="single" w:color="auto" w:sz="8" w:space="0"/>
              <w:right w:val="single" w:color="auto" w:sz="8" w:space="0"/>
            </w:tcBorders>
            <w:noWrap/>
            <w:vAlign w:val="center"/>
          </w:tcPr>
          <w:p w14:paraId="112E315C">
            <w:pPr>
              <w:jc w:val="center"/>
              <w:rPr>
                <w:szCs w:val="21"/>
              </w:rPr>
            </w:pPr>
            <w:r>
              <w:rPr>
                <w:rFonts w:hint="eastAsia"/>
                <w:szCs w:val="21"/>
              </w:rPr>
              <w:t>3</w:t>
            </w:r>
          </w:p>
        </w:tc>
        <w:tc>
          <w:tcPr>
            <w:tcW w:w="2436" w:type="dxa"/>
            <w:gridSpan w:val="2"/>
            <w:tcBorders>
              <w:top w:val="single" w:color="auto" w:sz="8" w:space="0"/>
              <w:left w:val="nil"/>
              <w:bottom w:val="single" w:color="auto" w:sz="8" w:space="0"/>
              <w:right w:val="single" w:color="000000" w:sz="8" w:space="0"/>
            </w:tcBorders>
            <w:noWrap/>
            <w:vAlign w:val="center"/>
          </w:tcPr>
          <w:p w14:paraId="342849C0">
            <w:pPr>
              <w:jc w:val="center"/>
              <w:rPr>
                <w:szCs w:val="21"/>
              </w:rPr>
            </w:pPr>
            <w:r>
              <w:rPr>
                <w:rFonts w:hint="eastAsia"/>
                <w:szCs w:val="21"/>
              </w:rPr>
              <w:t>　</w:t>
            </w:r>
          </w:p>
        </w:tc>
        <w:tc>
          <w:tcPr>
            <w:tcW w:w="1216" w:type="dxa"/>
            <w:tcBorders>
              <w:top w:val="nil"/>
              <w:left w:val="nil"/>
              <w:bottom w:val="single" w:color="auto" w:sz="8" w:space="0"/>
              <w:right w:val="single" w:color="auto" w:sz="8" w:space="0"/>
            </w:tcBorders>
            <w:noWrap/>
            <w:vAlign w:val="center"/>
          </w:tcPr>
          <w:p w14:paraId="08A20E7D">
            <w:pPr>
              <w:jc w:val="center"/>
              <w:rPr>
                <w:szCs w:val="21"/>
              </w:rPr>
            </w:pPr>
            <w:r>
              <w:rPr>
                <w:rFonts w:hint="eastAsia"/>
                <w:szCs w:val="21"/>
              </w:rPr>
              <w:t>　</w:t>
            </w:r>
          </w:p>
        </w:tc>
        <w:tc>
          <w:tcPr>
            <w:tcW w:w="769" w:type="dxa"/>
            <w:tcBorders>
              <w:top w:val="nil"/>
              <w:left w:val="nil"/>
              <w:bottom w:val="single" w:color="auto" w:sz="8" w:space="0"/>
              <w:right w:val="single" w:color="auto" w:sz="8" w:space="0"/>
            </w:tcBorders>
            <w:noWrap/>
            <w:vAlign w:val="center"/>
          </w:tcPr>
          <w:p w14:paraId="4C128CAE">
            <w:pPr>
              <w:jc w:val="center"/>
              <w:rPr>
                <w:szCs w:val="21"/>
              </w:rPr>
            </w:pPr>
            <w:r>
              <w:rPr>
                <w:rFonts w:hint="eastAsia"/>
                <w:szCs w:val="21"/>
              </w:rPr>
              <w:t>　</w:t>
            </w:r>
          </w:p>
        </w:tc>
        <w:tc>
          <w:tcPr>
            <w:tcW w:w="708" w:type="dxa"/>
            <w:tcBorders>
              <w:top w:val="nil"/>
              <w:left w:val="nil"/>
              <w:bottom w:val="single" w:color="auto" w:sz="8" w:space="0"/>
              <w:right w:val="single" w:color="auto" w:sz="8" w:space="0"/>
            </w:tcBorders>
            <w:noWrap/>
            <w:vAlign w:val="center"/>
          </w:tcPr>
          <w:p w14:paraId="7EABBCAF">
            <w:pPr>
              <w:jc w:val="center"/>
              <w:rPr>
                <w:szCs w:val="21"/>
              </w:rPr>
            </w:pPr>
            <w:r>
              <w:rPr>
                <w:rFonts w:hint="eastAsia"/>
                <w:szCs w:val="21"/>
              </w:rPr>
              <w:t>　</w:t>
            </w:r>
          </w:p>
        </w:tc>
        <w:tc>
          <w:tcPr>
            <w:tcW w:w="1703" w:type="dxa"/>
            <w:tcBorders>
              <w:top w:val="nil"/>
              <w:left w:val="nil"/>
              <w:bottom w:val="single" w:color="auto" w:sz="8" w:space="0"/>
              <w:right w:val="single" w:color="auto" w:sz="8" w:space="0"/>
            </w:tcBorders>
            <w:noWrap/>
            <w:vAlign w:val="center"/>
          </w:tcPr>
          <w:p w14:paraId="1D727EBC">
            <w:pPr>
              <w:jc w:val="center"/>
              <w:rPr>
                <w:szCs w:val="21"/>
              </w:rPr>
            </w:pPr>
            <w:r>
              <w:rPr>
                <w:rFonts w:hint="eastAsia"/>
                <w:szCs w:val="21"/>
              </w:rPr>
              <w:t>　</w:t>
            </w:r>
          </w:p>
        </w:tc>
        <w:tc>
          <w:tcPr>
            <w:tcW w:w="1694" w:type="dxa"/>
            <w:tcBorders>
              <w:top w:val="nil"/>
              <w:left w:val="nil"/>
              <w:bottom w:val="single" w:color="auto" w:sz="8" w:space="0"/>
              <w:right w:val="single" w:color="auto" w:sz="8" w:space="0"/>
            </w:tcBorders>
            <w:noWrap/>
            <w:vAlign w:val="center"/>
          </w:tcPr>
          <w:p w14:paraId="4C74C132">
            <w:pPr>
              <w:jc w:val="center"/>
              <w:rPr>
                <w:szCs w:val="21"/>
              </w:rPr>
            </w:pPr>
            <w:r>
              <w:rPr>
                <w:rFonts w:hint="eastAsia"/>
                <w:szCs w:val="21"/>
              </w:rPr>
              <w:t>　</w:t>
            </w:r>
          </w:p>
        </w:tc>
      </w:tr>
      <w:tr w14:paraId="13C12C5C">
        <w:tblPrEx>
          <w:tblCellMar>
            <w:top w:w="0" w:type="dxa"/>
            <w:left w:w="108" w:type="dxa"/>
            <w:bottom w:w="0" w:type="dxa"/>
            <w:right w:w="108" w:type="dxa"/>
          </w:tblCellMar>
        </w:tblPrEx>
        <w:trPr>
          <w:gridAfter w:val="1"/>
          <w:wAfter w:w="222" w:type="dxa"/>
          <w:trHeight w:val="300" w:hRule="atLeast"/>
          <w:jc w:val="center"/>
        </w:trPr>
        <w:tc>
          <w:tcPr>
            <w:tcW w:w="531" w:type="dxa"/>
            <w:tcBorders>
              <w:top w:val="nil"/>
              <w:left w:val="single" w:color="auto" w:sz="8" w:space="0"/>
              <w:bottom w:val="single" w:color="auto" w:sz="8" w:space="0"/>
              <w:right w:val="single" w:color="auto" w:sz="8" w:space="0"/>
            </w:tcBorders>
            <w:noWrap/>
            <w:vAlign w:val="center"/>
          </w:tcPr>
          <w:p w14:paraId="31334752">
            <w:pPr>
              <w:jc w:val="center"/>
              <w:rPr>
                <w:szCs w:val="21"/>
              </w:rPr>
            </w:pPr>
            <w:r>
              <w:rPr>
                <w:rFonts w:hint="eastAsia"/>
                <w:szCs w:val="21"/>
              </w:rPr>
              <w:t>4</w:t>
            </w:r>
          </w:p>
        </w:tc>
        <w:tc>
          <w:tcPr>
            <w:tcW w:w="2436" w:type="dxa"/>
            <w:gridSpan w:val="2"/>
            <w:tcBorders>
              <w:top w:val="single" w:color="auto" w:sz="8" w:space="0"/>
              <w:left w:val="nil"/>
              <w:bottom w:val="single" w:color="auto" w:sz="8" w:space="0"/>
              <w:right w:val="single" w:color="000000" w:sz="8" w:space="0"/>
            </w:tcBorders>
            <w:noWrap/>
            <w:vAlign w:val="center"/>
          </w:tcPr>
          <w:p w14:paraId="1743D2AF">
            <w:pPr>
              <w:jc w:val="center"/>
              <w:rPr>
                <w:szCs w:val="21"/>
              </w:rPr>
            </w:pPr>
          </w:p>
        </w:tc>
        <w:tc>
          <w:tcPr>
            <w:tcW w:w="1216" w:type="dxa"/>
            <w:tcBorders>
              <w:top w:val="nil"/>
              <w:left w:val="nil"/>
              <w:bottom w:val="single" w:color="auto" w:sz="8" w:space="0"/>
              <w:right w:val="single" w:color="auto" w:sz="8" w:space="0"/>
            </w:tcBorders>
            <w:noWrap/>
            <w:vAlign w:val="center"/>
          </w:tcPr>
          <w:p w14:paraId="1FF63867">
            <w:pPr>
              <w:jc w:val="center"/>
              <w:rPr>
                <w:szCs w:val="21"/>
              </w:rPr>
            </w:pPr>
          </w:p>
        </w:tc>
        <w:tc>
          <w:tcPr>
            <w:tcW w:w="769" w:type="dxa"/>
            <w:tcBorders>
              <w:top w:val="nil"/>
              <w:left w:val="nil"/>
              <w:bottom w:val="single" w:color="auto" w:sz="8" w:space="0"/>
              <w:right w:val="single" w:color="auto" w:sz="8" w:space="0"/>
            </w:tcBorders>
            <w:noWrap/>
            <w:vAlign w:val="center"/>
          </w:tcPr>
          <w:p w14:paraId="43DE7D11">
            <w:pPr>
              <w:jc w:val="center"/>
              <w:rPr>
                <w:szCs w:val="21"/>
              </w:rPr>
            </w:pPr>
          </w:p>
        </w:tc>
        <w:tc>
          <w:tcPr>
            <w:tcW w:w="708" w:type="dxa"/>
            <w:tcBorders>
              <w:top w:val="nil"/>
              <w:left w:val="nil"/>
              <w:bottom w:val="single" w:color="auto" w:sz="8" w:space="0"/>
              <w:right w:val="single" w:color="auto" w:sz="8" w:space="0"/>
            </w:tcBorders>
            <w:noWrap/>
            <w:vAlign w:val="center"/>
          </w:tcPr>
          <w:p w14:paraId="4970D11D">
            <w:pPr>
              <w:jc w:val="center"/>
              <w:rPr>
                <w:szCs w:val="21"/>
              </w:rPr>
            </w:pPr>
          </w:p>
        </w:tc>
        <w:tc>
          <w:tcPr>
            <w:tcW w:w="1703" w:type="dxa"/>
            <w:tcBorders>
              <w:top w:val="nil"/>
              <w:left w:val="nil"/>
              <w:bottom w:val="single" w:color="auto" w:sz="8" w:space="0"/>
              <w:right w:val="single" w:color="auto" w:sz="8" w:space="0"/>
            </w:tcBorders>
            <w:noWrap/>
            <w:vAlign w:val="center"/>
          </w:tcPr>
          <w:p w14:paraId="08131A82">
            <w:pPr>
              <w:jc w:val="center"/>
              <w:rPr>
                <w:szCs w:val="21"/>
              </w:rPr>
            </w:pPr>
          </w:p>
        </w:tc>
        <w:tc>
          <w:tcPr>
            <w:tcW w:w="1694" w:type="dxa"/>
            <w:tcBorders>
              <w:top w:val="nil"/>
              <w:left w:val="nil"/>
              <w:bottom w:val="single" w:color="auto" w:sz="8" w:space="0"/>
              <w:right w:val="single" w:color="auto" w:sz="8" w:space="0"/>
            </w:tcBorders>
            <w:noWrap/>
            <w:vAlign w:val="center"/>
          </w:tcPr>
          <w:p w14:paraId="5FEC9FF4">
            <w:pPr>
              <w:jc w:val="center"/>
              <w:rPr>
                <w:szCs w:val="21"/>
              </w:rPr>
            </w:pPr>
          </w:p>
        </w:tc>
      </w:tr>
      <w:tr w14:paraId="56B9DD16">
        <w:tblPrEx>
          <w:tblCellMar>
            <w:top w:w="0" w:type="dxa"/>
            <w:left w:w="108" w:type="dxa"/>
            <w:bottom w:w="0" w:type="dxa"/>
            <w:right w:w="108" w:type="dxa"/>
          </w:tblCellMar>
        </w:tblPrEx>
        <w:trPr>
          <w:gridAfter w:val="1"/>
          <w:wAfter w:w="222" w:type="dxa"/>
          <w:trHeight w:val="300" w:hRule="atLeast"/>
          <w:jc w:val="center"/>
        </w:trPr>
        <w:tc>
          <w:tcPr>
            <w:tcW w:w="9057" w:type="dxa"/>
            <w:gridSpan w:val="8"/>
            <w:tcBorders>
              <w:top w:val="single" w:color="auto" w:sz="8" w:space="0"/>
              <w:left w:val="single" w:color="auto" w:sz="8" w:space="0"/>
              <w:bottom w:val="single" w:color="auto" w:sz="8" w:space="0"/>
              <w:right w:val="single" w:color="000000" w:sz="8" w:space="0"/>
            </w:tcBorders>
            <w:noWrap/>
            <w:vAlign w:val="center"/>
          </w:tcPr>
          <w:p w14:paraId="74CF7B4B">
            <w:pPr>
              <w:jc w:val="center"/>
              <w:rPr>
                <w:szCs w:val="21"/>
              </w:rPr>
            </w:pPr>
            <w:r>
              <w:rPr>
                <w:rFonts w:hint="eastAsia"/>
                <w:szCs w:val="21"/>
              </w:rPr>
              <w:t>资质审查情况说明</w:t>
            </w:r>
          </w:p>
        </w:tc>
      </w:tr>
      <w:tr w14:paraId="0BD00E53">
        <w:tblPrEx>
          <w:tblCellMar>
            <w:top w:w="0" w:type="dxa"/>
            <w:left w:w="108" w:type="dxa"/>
            <w:bottom w:w="0" w:type="dxa"/>
            <w:right w:w="108" w:type="dxa"/>
          </w:tblCellMar>
        </w:tblPrEx>
        <w:trPr>
          <w:gridAfter w:val="1"/>
          <w:wAfter w:w="222" w:type="dxa"/>
          <w:trHeight w:val="272" w:hRule="atLeast"/>
          <w:jc w:val="center"/>
        </w:trPr>
        <w:tc>
          <w:tcPr>
            <w:tcW w:w="9057" w:type="dxa"/>
            <w:gridSpan w:val="8"/>
            <w:vMerge w:val="restart"/>
            <w:tcBorders>
              <w:top w:val="single" w:color="auto" w:sz="8" w:space="0"/>
              <w:left w:val="single" w:color="auto" w:sz="8" w:space="0"/>
              <w:bottom w:val="single" w:color="000000" w:sz="8" w:space="0"/>
              <w:right w:val="single" w:color="000000" w:sz="8" w:space="0"/>
            </w:tcBorders>
            <w:noWrap/>
          </w:tcPr>
          <w:p w14:paraId="3363841D">
            <w:pPr>
              <w:rPr>
                <w:szCs w:val="21"/>
              </w:rPr>
            </w:pPr>
            <w:r>
              <w:rPr>
                <w:rFonts w:hint="eastAsia"/>
                <w:szCs w:val="21"/>
              </w:rPr>
              <w:t>（资质、业绩、技术、能力，谈判保证金等方面）</w:t>
            </w:r>
          </w:p>
        </w:tc>
      </w:tr>
      <w:tr w14:paraId="2DA86A63">
        <w:tblPrEx>
          <w:tblCellMar>
            <w:top w:w="0" w:type="dxa"/>
            <w:left w:w="108" w:type="dxa"/>
            <w:bottom w:w="0" w:type="dxa"/>
            <w:right w:w="108" w:type="dxa"/>
          </w:tblCellMar>
        </w:tblPrEx>
        <w:trPr>
          <w:trHeight w:val="312" w:hRule="atLeast"/>
          <w:jc w:val="center"/>
        </w:trPr>
        <w:tc>
          <w:tcPr>
            <w:tcW w:w="0" w:type="auto"/>
            <w:gridSpan w:val="8"/>
            <w:vMerge w:val="continue"/>
            <w:tcBorders>
              <w:top w:val="single" w:color="auto" w:sz="8" w:space="0"/>
              <w:left w:val="single" w:color="auto" w:sz="8" w:space="0"/>
              <w:bottom w:val="single" w:color="000000" w:sz="8" w:space="0"/>
              <w:right w:val="single" w:color="000000" w:sz="8" w:space="0"/>
            </w:tcBorders>
            <w:vAlign w:val="center"/>
          </w:tcPr>
          <w:p w14:paraId="47C24C0F">
            <w:pPr>
              <w:rPr>
                <w:rFonts w:ascii="宋体" w:hAnsi="宋体" w:cs="宋体"/>
                <w:szCs w:val="21"/>
              </w:rPr>
            </w:pPr>
          </w:p>
        </w:tc>
        <w:tc>
          <w:tcPr>
            <w:tcW w:w="0" w:type="auto"/>
            <w:vAlign w:val="center"/>
          </w:tcPr>
          <w:p w14:paraId="03ECC75A">
            <w:pPr>
              <w:rPr>
                <w:szCs w:val="21"/>
              </w:rPr>
            </w:pPr>
          </w:p>
        </w:tc>
      </w:tr>
      <w:tr w14:paraId="0D2FD60B">
        <w:tblPrEx>
          <w:tblCellMar>
            <w:top w:w="0" w:type="dxa"/>
            <w:left w:w="108" w:type="dxa"/>
            <w:bottom w:w="0" w:type="dxa"/>
            <w:right w:w="108" w:type="dxa"/>
          </w:tblCellMar>
        </w:tblPrEx>
        <w:trPr>
          <w:trHeight w:val="312" w:hRule="atLeast"/>
          <w:jc w:val="center"/>
        </w:trPr>
        <w:tc>
          <w:tcPr>
            <w:tcW w:w="0" w:type="auto"/>
            <w:gridSpan w:val="8"/>
            <w:vMerge w:val="continue"/>
            <w:tcBorders>
              <w:top w:val="single" w:color="auto" w:sz="8" w:space="0"/>
              <w:left w:val="single" w:color="auto" w:sz="8" w:space="0"/>
              <w:bottom w:val="single" w:color="000000" w:sz="8" w:space="0"/>
              <w:right w:val="single" w:color="000000" w:sz="8" w:space="0"/>
            </w:tcBorders>
            <w:vAlign w:val="center"/>
          </w:tcPr>
          <w:p w14:paraId="310635A0">
            <w:pPr>
              <w:rPr>
                <w:rFonts w:ascii="宋体" w:hAnsi="宋体" w:cs="宋体"/>
                <w:szCs w:val="21"/>
              </w:rPr>
            </w:pPr>
          </w:p>
        </w:tc>
        <w:tc>
          <w:tcPr>
            <w:tcW w:w="0" w:type="auto"/>
            <w:vAlign w:val="center"/>
          </w:tcPr>
          <w:p w14:paraId="564416E9">
            <w:pPr>
              <w:rPr>
                <w:rFonts w:ascii="Times New Roman" w:hAnsi="Times New Roman" w:cs="Times New Roman"/>
                <w:sz w:val="20"/>
                <w:szCs w:val="20"/>
              </w:rPr>
            </w:pPr>
          </w:p>
        </w:tc>
      </w:tr>
      <w:tr w14:paraId="610EAD18">
        <w:tblPrEx>
          <w:tblCellMar>
            <w:top w:w="0" w:type="dxa"/>
            <w:left w:w="108" w:type="dxa"/>
            <w:bottom w:w="0" w:type="dxa"/>
            <w:right w:w="108" w:type="dxa"/>
          </w:tblCellMar>
        </w:tblPrEx>
        <w:trPr>
          <w:trHeight w:val="312" w:hRule="atLeast"/>
          <w:jc w:val="center"/>
        </w:trPr>
        <w:tc>
          <w:tcPr>
            <w:tcW w:w="0" w:type="auto"/>
            <w:gridSpan w:val="8"/>
            <w:vMerge w:val="continue"/>
            <w:tcBorders>
              <w:top w:val="single" w:color="auto" w:sz="8" w:space="0"/>
              <w:left w:val="single" w:color="auto" w:sz="8" w:space="0"/>
              <w:bottom w:val="single" w:color="000000" w:sz="8" w:space="0"/>
              <w:right w:val="single" w:color="000000" w:sz="8" w:space="0"/>
            </w:tcBorders>
            <w:vAlign w:val="center"/>
          </w:tcPr>
          <w:p w14:paraId="7F331EF6">
            <w:pPr>
              <w:rPr>
                <w:rFonts w:ascii="宋体" w:hAnsi="宋体" w:cs="宋体"/>
                <w:szCs w:val="21"/>
              </w:rPr>
            </w:pPr>
          </w:p>
        </w:tc>
        <w:tc>
          <w:tcPr>
            <w:tcW w:w="0" w:type="auto"/>
            <w:vAlign w:val="center"/>
          </w:tcPr>
          <w:p w14:paraId="6737C1B2">
            <w:pPr>
              <w:rPr>
                <w:rFonts w:ascii="Times New Roman" w:hAnsi="Times New Roman" w:cs="Times New Roman"/>
                <w:sz w:val="20"/>
                <w:szCs w:val="20"/>
              </w:rPr>
            </w:pPr>
          </w:p>
        </w:tc>
      </w:tr>
      <w:tr w14:paraId="20AE4F13">
        <w:tblPrEx>
          <w:tblCellMar>
            <w:top w:w="0" w:type="dxa"/>
            <w:left w:w="108" w:type="dxa"/>
            <w:bottom w:w="0" w:type="dxa"/>
            <w:right w:w="108" w:type="dxa"/>
          </w:tblCellMar>
        </w:tblPrEx>
        <w:trPr>
          <w:trHeight w:val="312" w:hRule="atLeast"/>
          <w:jc w:val="center"/>
        </w:trPr>
        <w:tc>
          <w:tcPr>
            <w:tcW w:w="0" w:type="auto"/>
            <w:gridSpan w:val="8"/>
            <w:vMerge w:val="continue"/>
            <w:tcBorders>
              <w:top w:val="single" w:color="auto" w:sz="8" w:space="0"/>
              <w:left w:val="single" w:color="auto" w:sz="8" w:space="0"/>
              <w:bottom w:val="single" w:color="000000" w:sz="8" w:space="0"/>
              <w:right w:val="single" w:color="000000" w:sz="8" w:space="0"/>
            </w:tcBorders>
            <w:vAlign w:val="center"/>
          </w:tcPr>
          <w:p w14:paraId="0B134CFC">
            <w:pPr>
              <w:rPr>
                <w:rFonts w:ascii="宋体" w:hAnsi="宋体" w:cs="宋体"/>
                <w:szCs w:val="21"/>
              </w:rPr>
            </w:pPr>
          </w:p>
        </w:tc>
        <w:tc>
          <w:tcPr>
            <w:tcW w:w="0" w:type="auto"/>
            <w:vAlign w:val="center"/>
          </w:tcPr>
          <w:p w14:paraId="7E7D1C29">
            <w:pPr>
              <w:rPr>
                <w:rFonts w:ascii="Times New Roman" w:hAnsi="Times New Roman" w:cs="Times New Roman"/>
                <w:sz w:val="20"/>
                <w:szCs w:val="20"/>
              </w:rPr>
            </w:pPr>
          </w:p>
        </w:tc>
      </w:tr>
      <w:tr w14:paraId="537EE39D">
        <w:tblPrEx>
          <w:tblCellMar>
            <w:top w:w="0" w:type="dxa"/>
            <w:left w:w="108" w:type="dxa"/>
            <w:bottom w:w="0" w:type="dxa"/>
            <w:right w:w="108" w:type="dxa"/>
          </w:tblCellMar>
        </w:tblPrEx>
        <w:trPr>
          <w:trHeight w:val="312" w:hRule="atLeast"/>
          <w:jc w:val="center"/>
        </w:trPr>
        <w:tc>
          <w:tcPr>
            <w:tcW w:w="0" w:type="auto"/>
            <w:gridSpan w:val="8"/>
            <w:vMerge w:val="continue"/>
            <w:tcBorders>
              <w:top w:val="single" w:color="auto" w:sz="8" w:space="0"/>
              <w:left w:val="single" w:color="auto" w:sz="8" w:space="0"/>
              <w:bottom w:val="single" w:color="000000" w:sz="8" w:space="0"/>
              <w:right w:val="single" w:color="000000" w:sz="8" w:space="0"/>
            </w:tcBorders>
            <w:vAlign w:val="center"/>
          </w:tcPr>
          <w:p w14:paraId="5A1C613F">
            <w:pPr>
              <w:rPr>
                <w:rFonts w:ascii="宋体" w:hAnsi="宋体" w:cs="宋体"/>
                <w:szCs w:val="21"/>
              </w:rPr>
            </w:pPr>
          </w:p>
        </w:tc>
        <w:tc>
          <w:tcPr>
            <w:tcW w:w="0" w:type="auto"/>
            <w:vAlign w:val="center"/>
          </w:tcPr>
          <w:p w14:paraId="0DCB8375">
            <w:pPr>
              <w:rPr>
                <w:rFonts w:ascii="Times New Roman" w:hAnsi="Times New Roman" w:cs="Times New Roman"/>
                <w:sz w:val="20"/>
                <w:szCs w:val="20"/>
              </w:rPr>
            </w:pPr>
          </w:p>
        </w:tc>
      </w:tr>
      <w:tr w14:paraId="1189FF85">
        <w:tblPrEx>
          <w:tblCellMar>
            <w:top w:w="0" w:type="dxa"/>
            <w:left w:w="108" w:type="dxa"/>
            <w:bottom w:w="0" w:type="dxa"/>
            <w:right w:w="108" w:type="dxa"/>
          </w:tblCellMar>
        </w:tblPrEx>
        <w:trPr>
          <w:trHeight w:val="312" w:hRule="atLeast"/>
          <w:jc w:val="center"/>
        </w:trPr>
        <w:tc>
          <w:tcPr>
            <w:tcW w:w="0" w:type="auto"/>
            <w:gridSpan w:val="8"/>
            <w:vMerge w:val="continue"/>
            <w:tcBorders>
              <w:top w:val="single" w:color="auto" w:sz="8" w:space="0"/>
              <w:left w:val="single" w:color="auto" w:sz="8" w:space="0"/>
              <w:bottom w:val="single" w:color="000000" w:sz="8" w:space="0"/>
              <w:right w:val="single" w:color="000000" w:sz="8" w:space="0"/>
            </w:tcBorders>
            <w:vAlign w:val="center"/>
          </w:tcPr>
          <w:p w14:paraId="45EEDC25">
            <w:pPr>
              <w:rPr>
                <w:rFonts w:ascii="宋体" w:hAnsi="宋体" w:cs="宋体"/>
                <w:szCs w:val="21"/>
              </w:rPr>
            </w:pPr>
          </w:p>
        </w:tc>
        <w:tc>
          <w:tcPr>
            <w:tcW w:w="0" w:type="auto"/>
            <w:vAlign w:val="center"/>
          </w:tcPr>
          <w:p w14:paraId="778056AC">
            <w:pPr>
              <w:rPr>
                <w:rFonts w:ascii="Times New Roman" w:hAnsi="Times New Roman" w:cs="Times New Roman"/>
                <w:sz w:val="20"/>
                <w:szCs w:val="20"/>
              </w:rPr>
            </w:pPr>
          </w:p>
        </w:tc>
      </w:tr>
      <w:tr w14:paraId="179408FB">
        <w:tblPrEx>
          <w:tblCellMar>
            <w:top w:w="0" w:type="dxa"/>
            <w:left w:w="108" w:type="dxa"/>
            <w:bottom w:w="0" w:type="dxa"/>
            <w:right w:w="108" w:type="dxa"/>
          </w:tblCellMar>
        </w:tblPrEx>
        <w:trPr>
          <w:trHeight w:val="312" w:hRule="atLeast"/>
          <w:jc w:val="center"/>
        </w:trPr>
        <w:tc>
          <w:tcPr>
            <w:tcW w:w="0" w:type="auto"/>
            <w:gridSpan w:val="8"/>
            <w:vMerge w:val="continue"/>
            <w:tcBorders>
              <w:top w:val="single" w:color="auto" w:sz="8" w:space="0"/>
              <w:left w:val="single" w:color="auto" w:sz="8" w:space="0"/>
              <w:bottom w:val="single" w:color="000000" w:sz="8" w:space="0"/>
              <w:right w:val="single" w:color="000000" w:sz="8" w:space="0"/>
            </w:tcBorders>
            <w:vAlign w:val="center"/>
          </w:tcPr>
          <w:p w14:paraId="761C4EAE">
            <w:pPr>
              <w:rPr>
                <w:rFonts w:ascii="宋体" w:hAnsi="宋体" w:cs="宋体"/>
                <w:szCs w:val="21"/>
              </w:rPr>
            </w:pPr>
          </w:p>
        </w:tc>
        <w:tc>
          <w:tcPr>
            <w:tcW w:w="0" w:type="auto"/>
            <w:vAlign w:val="center"/>
          </w:tcPr>
          <w:p w14:paraId="37036059">
            <w:pPr>
              <w:rPr>
                <w:rFonts w:ascii="Times New Roman" w:hAnsi="Times New Roman" w:cs="Times New Roman"/>
                <w:sz w:val="20"/>
                <w:szCs w:val="20"/>
              </w:rPr>
            </w:pPr>
          </w:p>
        </w:tc>
      </w:tr>
      <w:tr w14:paraId="2059D8FF">
        <w:tblPrEx>
          <w:tblCellMar>
            <w:top w:w="0" w:type="dxa"/>
            <w:left w:w="108" w:type="dxa"/>
            <w:bottom w:w="0" w:type="dxa"/>
            <w:right w:w="108" w:type="dxa"/>
          </w:tblCellMar>
        </w:tblPrEx>
        <w:trPr>
          <w:trHeight w:val="312" w:hRule="atLeast"/>
          <w:jc w:val="center"/>
        </w:trPr>
        <w:tc>
          <w:tcPr>
            <w:tcW w:w="0" w:type="auto"/>
            <w:gridSpan w:val="8"/>
            <w:vMerge w:val="continue"/>
            <w:tcBorders>
              <w:top w:val="single" w:color="auto" w:sz="8" w:space="0"/>
              <w:left w:val="single" w:color="auto" w:sz="8" w:space="0"/>
              <w:bottom w:val="single" w:color="000000" w:sz="8" w:space="0"/>
              <w:right w:val="single" w:color="000000" w:sz="8" w:space="0"/>
            </w:tcBorders>
            <w:vAlign w:val="center"/>
          </w:tcPr>
          <w:p w14:paraId="25294613">
            <w:pPr>
              <w:rPr>
                <w:rFonts w:ascii="宋体" w:hAnsi="宋体" w:cs="宋体"/>
                <w:szCs w:val="21"/>
              </w:rPr>
            </w:pPr>
          </w:p>
        </w:tc>
        <w:tc>
          <w:tcPr>
            <w:tcW w:w="0" w:type="auto"/>
            <w:vAlign w:val="center"/>
          </w:tcPr>
          <w:p w14:paraId="3B7205EB">
            <w:pPr>
              <w:rPr>
                <w:rFonts w:ascii="Times New Roman" w:hAnsi="Times New Roman" w:cs="Times New Roman"/>
                <w:sz w:val="20"/>
                <w:szCs w:val="20"/>
              </w:rPr>
            </w:pPr>
          </w:p>
        </w:tc>
      </w:tr>
      <w:tr w14:paraId="15804DB8">
        <w:tblPrEx>
          <w:tblCellMar>
            <w:top w:w="0" w:type="dxa"/>
            <w:left w:w="108" w:type="dxa"/>
            <w:bottom w:w="0" w:type="dxa"/>
            <w:right w:w="108" w:type="dxa"/>
          </w:tblCellMar>
        </w:tblPrEx>
        <w:trPr>
          <w:trHeight w:val="312" w:hRule="atLeast"/>
          <w:jc w:val="center"/>
        </w:trPr>
        <w:tc>
          <w:tcPr>
            <w:tcW w:w="0" w:type="auto"/>
            <w:gridSpan w:val="8"/>
            <w:vMerge w:val="continue"/>
            <w:tcBorders>
              <w:top w:val="single" w:color="auto" w:sz="8" w:space="0"/>
              <w:left w:val="single" w:color="auto" w:sz="8" w:space="0"/>
              <w:bottom w:val="single" w:color="000000" w:sz="8" w:space="0"/>
              <w:right w:val="single" w:color="000000" w:sz="8" w:space="0"/>
            </w:tcBorders>
            <w:vAlign w:val="center"/>
          </w:tcPr>
          <w:p w14:paraId="31E67333">
            <w:pPr>
              <w:rPr>
                <w:rFonts w:ascii="宋体" w:hAnsi="宋体" w:cs="宋体"/>
                <w:szCs w:val="21"/>
              </w:rPr>
            </w:pPr>
          </w:p>
        </w:tc>
        <w:tc>
          <w:tcPr>
            <w:tcW w:w="0" w:type="auto"/>
            <w:vAlign w:val="center"/>
          </w:tcPr>
          <w:p w14:paraId="70DE26B8">
            <w:pPr>
              <w:rPr>
                <w:rFonts w:ascii="Times New Roman" w:hAnsi="Times New Roman" w:cs="Times New Roman"/>
                <w:sz w:val="20"/>
                <w:szCs w:val="20"/>
              </w:rPr>
            </w:pPr>
          </w:p>
        </w:tc>
      </w:tr>
      <w:tr w14:paraId="35C2166A">
        <w:tblPrEx>
          <w:tblCellMar>
            <w:top w:w="0" w:type="dxa"/>
            <w:left w:w="108" w:type="dxa"/>
            <w:bottom w:w="0" w:type="dxa"/>
            <w:right w:w="108" w:type="dxa"/>
          </w:tblCellMar>
        </w:tblPrEx>
        <w:trPr>
          <w:trHeight w:val="312" w:hRule="atLeast"/>
          <w:jc w:val="center"/>
        </w:trPr>
        <w:tc>
          <w:tcPr>
            <w:tcW w:w="0" w:type="auto"/>
            <w:gridSpan w:val="8"/>
            <w:vMerge w:val="continue"/>
            <w:tcBorders>
              <w:top w:val="single" w:color="auto" w:sz="8" w:space="0"/>
              <w:left w:val="single" w:color="auto" w:sz="8" w:space="0"/>
              <w:bottom w:val="single" w:color="000000" w:sz="8" w:space="0"/>
              <w:right w:val="single" w:color="000000" w:sz="8" w:space="0"/>
            </w:tcBorders>
            <w:vAlign w:val="center"/>
          </w:tcPr>
          <w:p w14:paraId="76323C78">
            <w:pPr>
              <w:rPr>
                <w:rFonts w:ascii="宋体" w:hAnsi="宋体" w:cs="宋体"/>
                <w:szCs w:val="21"/>
              </w:rPr>
            </w:pPr>
          </w:p>
        </w:tc>
        <w:tc>
          <w:tcPr>
            <w:tcW w:w="0" w:type="auto"/>
            <w:vAlign w:val="center"/>
          </w:tcPr>
          <w:p w14:paraId="0046C361">
            <w:pPr>
              <w:rPr>
                <w:rFonts w:ascii="Times New Roman" w:hAnsi="Times New Roman" w:cs="Times New Roman"/>
                <w:sz w:val="20"/>
                <w:szCs w:val="20"/>
              </w:rPr>
            </w:pPr>
          </w:p>
        </w:tc>
      </w:tr>
      <w:tr w14:paraId="4F16C4B8">
        <w:tblPrEx>
          <w:tblCellMar>
            <w:top w:w="0" w:type="dxa"/>
            <w:left w:w="108" w:type="dxa"/>
            <w:bottom w:w="0" w:type="dxa"/>
            <w:right w:w="108" w:type="dxa"/>
          </w:tblCellMar>
        </w:tblPrEx>
        <w:trPr>
          <w:trHeight w:val="312" w:hRule="atLeast"/>
          <w:jc w:val="center"/>
        </w:trPr>
        <w:tc>
          <w:tcPr>
            <w:tcW w:w="0" w:type="auto"/>
            <w:gridSpan w:val="8"/>
            <w:vMerge w:val="continue"/>
            <w:tcBorders>
              <w:top w:val="single" w:color="auto" w:sz="8" w:space="0"/>
              <w:left w:val="single" w:color="auto" w:sz="8" w:space="0"/>
              <w:bottom w:val="single" w:color="000000" w:sz="8" w:space="0"/>
              <w:right w:val="single" w:color="000000" w:sz="8" w:space="0"/>
            </w:tcBorders>
            <w:vAlign w:val="center"/>
          </w:tcPr>
          <w:p w14:paraId="71E2A07F">
            <w:pPr>
              <w:rPr>
                <w:rFonts w:ascii="宋体" w:hAnsi="宋体" w:cs="宋体"/>
                <w:szCs w:val="21"/>
              </w:rPr>
            </w:pPr>
          </w:p>
        </w:tc>
        <w:tc>
          <w:tcPr>
            <w:tcW w:w="0" w:type="auto"/>
            <w:vAlign w:val="center"/>
          </w:tcPr>
          <w:p w14:paraId="1E341503">
            <w:pPr>
              <w:rPr>
                <w:rFonts w:ascii="Times New Roman" w:hAnsi="Times New Roman" w:cs="Times New Roman"/>
                <w:sz w:val="20"/>
                <w:szCs w:val="20"/>
              </w:rPr>
            </w:pPr>
          </w:p>
        </w:tc>
      </w:tr>
      <w:tr w14:paraId="78B781B9">
        <w:tblPrEx>
          <w:tblCellMar>
            <w:top w:w="0" w:type="dxa"/>
            <w:left w:w="108" w:type="dxa"/>
            <w:bottom w:w="0" w:type="dxa"/>
            <w:right w:w="108" w:type="dxa"/>
          </w:tblCellMar>
        </w:tblPrEx>
        <w:trPr>
          <w:trHeight w:val="312" w:hRule="atLeast"/>
          <w:jc w:val="center"/>
        </w:trPr>
        <w:tc>
          <w:tcPr>
            <w:tcW w:w="0" w:type="auto"/>
            <w:gridSpan w:val="8"/>
            <w:vMerge w:val="continue"/>
            <w:tcBorders>
              <w:top w:val="single" w:color="auto" w:sz="8" w:space="0"/>
              <w:left w:val="single" w:color="auto" w:sz="8" w:space="0"/>
              <w:bottom w:val="single" w:color="000000" w:sz="8" w:space="0"/>
              <w:right w:val="single" w:color="000000" w:sz="8" w:space="0"/>
            </w:tcBorders>
            <w:vAlign w:val="center"/>
          </w:tcPr>
          <w:p w14:paraId="37859C43">
            <w:pPr>
              <w:rPr>
                <w:rFonts w:ascii="宋体" w:hAnsi="宋体" w:cs="宋体"/>
                <w:szCs w:val="21"/>
              </w:rPr>
            </w:pPr>
          </w:p>
        </w:tc>
        <w:tc>
          <w:tcPr>
            <w:tcW w:w="0" w:type="auto"/>
            <w:vAlign w:val="center"/>
          </w:tcPr>
          <w:p w14:paraId="1BC892E1">
            <w:pPr>
              <w:rPr>
                <w:rFonts w:ascii="Times New Roman" w:hAnsi="Times New Roman" w:cs="Times New Roman"/>
                <w:sz w:val="20"/>
                <w:szCs w:val="20"/>
              </w:rPr>
            </w:pPr>
          </w:p>
        </w:tc>
      </w:tr>
      <w:tr w14:paraId="5C75AF68">
        <w:tblPrEx>
          <w:tblCellMar>
            <w:top w:w="0" w:type="dxa"/>
            <w:left w:w="108" w:type="dxa"/>
            <w:bottom w:w="0" w:type="dxa"/>
            <w:right w:w="108" w:type="dxa"/>
          </w:tblCellMar>
        </w:tblPrEx>
        <w:trPr>
          <w:trHeight w:val="312" w:hRule="atLeast"/>
          <w:jc w:val="center"/>
        </w:trPr>
        <w:tc>
          <w:tcPr>
            <w:tcW w:w="0" w:type="auto"/>
            <w:gridSpan w:val="8"/>
            <w:vMerge w:val="continue"/>
            <w:tcBorders>
              <w:top w:val="single" w:color="auto" w:sz="8" w:space="0"/>
              <w:left w:val="single" w:color="auto" w:sz="8" w:space="0"/>
              <w:bottom w:val="single" w:color="000000" w:sz="8" w:space="0"/>
              <w:right w:val="single" w:color="000000" w:sz="8" w:space="0"/>
            </w:tcBorders>
            <w:vAlign w:val="center"/>
          </w:tcPr>
          <w:p w14:paraId="32F89B0E">
            <w:pPr>
              <w:rPr>
                <w:rFonts w:ascii="宋体" w:hAnsi="宋体" w:cs="宋体"/>
                <w:szCs w:val="21"/>
              </w:rPr>
            </w:pPr>
          </w:p>
        </w:tc>
        <w:tc>
          <w:tcPr>
            <w:tcW w:w="0" w:type="auto"/>
            <w:vAlign w:val="center"/>
          </w:tcPr>
          <w:p w14:paraId="066143E0">
            <w:pPr>
              <w:rPr>
                <w:rFonts w:ascii="Times New Roman" w:hAnsi="Times New Roman" w:cs="Times New Roman"/>
                <w:sz w:val="20"/>
                <w:szCs w:val="20"/>
              </w:rPr>
            </w:pPr>
          </w:p>
        </w:tc>
      </w:tr>
      <w:tr w14:paraId="0FB75BC9">
        <w:tblPrEx>
          <w:tblCellMar>
            <w:top w:w="0" w:type="dxa"/>
            <w:left w:w="108" w:type="dxa"/>
            <w:bottom w:w="0" w:type="dxa"/>
            <w:right w:w="108" w:type="dxa"/>
          </w:tblCellMar>
        </w:tblPrEx>
        <w:trPr>
          <w:trHeight w:val="312" w:hRule="atLeast"/>
          <w:jc w:val="center"/>
        </w:trPr>
        <w:tc>
          <w:tcPr>
            <w:tcW w:w="0" w:type="auto"/>
            <w:gridSpan w:val="8"/>
            <w:vMerge w:val="continue"/>
            <w:tcBorders>
              <w:top w:val="single" w:color="auto" w:sz="8" w:space="0"/>
              <w:left w:val="single" w:color="auto" w:sz="8" w:space="0"/>
              <w:bottom w:val="single" w:color="000000" w:sz="8" w:space="0"/>
              <w:right w:val="single" w:color="000000" w:sz="8" w:space="0"/>
            </w:tcBorders>
            <w:vAlign w:val="center"/>
          </w:tcPr>
          <w:p w14:paraId="29D70A1D">
            <w:pPr>
              <w:rPr>
                <w:rFonts w:ascii="宋体" w:hAnsi="宋体" w:cs="宋体"/>
                <w:szCs w:val="21"/>
              </w:rPr>
            </w:pPr>
          </w:p>
        </w:tc>
        <w:tc>
          <w:tcPr>
            <w:tcW w:w="0" w:type="auto"/>
            <w:vAlign w:val="center"/>
          </w:tcPr>
          <w:p w14:paraId="39ABD280">
            <w:pPr>
              <w:rPr>
                <w:rFonts w:ascii="Times New Roman" w:hAnsi="Times New Roman" w:cs="Times New Roman"/>
                <w:sz w:val="20"/>
                <w:szCs w:val="20"/>
              </w:rPr>
            </w:pPr>
          </w:p>
        </w:tc>
      </w:tr>
      <w:tr w14:paraId="18A9895F">
        <w:tblPrEx>
          <w:tblCellMar>
            <w:top w:w="0" w:type="dxa"/>
            <w:left w:w="108" w:type="dxa"/>
            <w:bottom w:w="0" w:type="dxa"/>
            <w:right w:w="108" w:type="dxa"/>
          </w:tblCellMar>
        </w:tblPrEx>
        <w:trPr>
          <w:trHeight w:val="312" w:hRule="atLeast"/>
          <w:jc w:val="center"/>
        </w:trPr>
        <w:tc>
          <w:tcPr>
            <w:tcW w:w="1705" w:type="dxa"/>
            <w:gridSpan w:val="2"/>
            <w:vMerge w:val="restart"/>
            <w:tcBorders>
              <w:top w:val="single" w:color="000000" w:sz="8" w:space="0"/>
              <w:left w:val="single" w:color="auto" w:sz="8" w:space="0"/>
              <w:bottom w:val="single" w:color="auto" w:sz="4" w:space="0"/>
              <w:right w:val="single" w:color="000000" w:sz="8" w:space="0"/>
            </w:tcBorders>
            <w:noWrap/>
            <w:vAlign w:val="center"/>
          </w:tcPr>
          <w:p w14:paraId="0848D4FC">
            <w:pPr>
              <w:jc w:val="center"/>
              <w:rPr>
                <w:rFonts w:ascii="宋体" w:hAnsi="宋体" w:cs="宋体"/>
                <w:szCs w:val="21"/>
              </w:rPr>
            </w:pPr>
            <w:r>
              <w:rPr>
                <w:rFonts w:hint="eastAsia"/>
                <w:szCs w:val="21"/>
              </w:rPr>
              <w:t>资格审查人员</w:t>
            </w:r>
          </w:p>
        </w:tc>
        <w:tc>
          <w:tcPr>
            <w:tcW w:w="7352" w:type="dxa"/>
            <w:gridSpan w:val="6"/>
            <w:vMerge w:val="restart"/>
            <w:tcBorders>
              <w:top w:val="single" w:color="000000" w:sz="8" w:space="0"/>
              <w:left w:val="single" w:color="auto" w:sz="8" w:space="0"/>
              <w:bottom w:val="single" w:color="auto" w:sz="4" w:space="0"/>
              <w:right w:val="single" w:color="000000" w:sz="8" w:space="0"/>
            </w:tcBorders>
            <w:noWrap/>
            <w:vAlign w:val="center"/>
          </w:tcPr>
          <w:p w14:paraId="6D1F8C67">
            <w:pPr>
              <w:jc w:val="center"/>
              <w:rPr>
                <w:szCs w:val="21"/>
              </w:rPr>
            </w:pPr>
          </w:p>
        </w:tc>
        <w:tc>
          <w:tcPr>
            <w:tcW w:w="0" w:type="auto"/>
            <w:vAlign w:val="center"/>
          </w:tcPr>
          <w:p w14:paraId="6E5A48D8">
            <w:pPr>
              <w:rPr>
                <w:rFonts w:ascii="Times New Roman" w:hAnsi="Times New Roman" w:cs="Times New Roman"/>
                <w:sz w:val="20"/>
                <w:szCs w:val="20"/>
              </w:rPr>
            </w:pPr>
          </w:p>
        </w:tc>
      </w:tr>
      <w:tr w14:paraId="35550E9B">
        <w:tblPrEx>
          <w:tblCellMar>
            <w:top w:w="0" w:type="dxa"/>
            <w:left w:w="108" w:type="dxa"/>
            <w:bottom w:w="0" w:type="dxa"/>
            <w:right w:w="108" w:type="dxa"/>
          </w:tblCellMar>
        </w:tblPrEx>
        <w:trPr>
          <w:trHeight w:val="312" w:hRule="atLeast"/>
          <w:jc w:val="center"/>
        </w:trPr>
        <w:tc>
          <w:tcPr>
            <w:tcW w:w="0" w:type="auto"/>
            <w:gridSpan w:val="2"/>
            <w:vMerge w:val="continue"/>
            <w:tcBorders>
              <w:top w:val="single" w:color="000000" w:sz="8" w:space="0"/>
              <w:left w:val="single" w:color="auto" w:sz="8" w:space="0"/>
              <w:bottom w:val="single" w:color="auto" w:sz="4" w:space="0"/>
              <w:right w:val="single" w:color="000000" w:sz="8" w:space="0"/>
            </w:tcBorders>
            <w:vAlign w:val="center"/>
          </w:tcPr>
          <w:p w14:paraId="3B07C193">
            <w:pPr>
              <w:rPr>
                <w:rFonts w:ascii="宋体" w:hAnsi="宋体" w:cs="宋体"/>
                <w:szCs w:val="21"/>
              </w:rPr>
            </w:pPr>
          </w:p>
        </w:tc>
        <w:tc>
          <w:tcPr>
            <w:tcW w:w="0" w:type="auto"/>
            <w:gridSpan w:val="6"/>
            <w:vMerge w:val="continue"/>
            <w:tcBorders>
              <w:top w:val="single" w:color="000000" w:sz="8" w:space="0"/>
              <w:left w:val="single" w:color="auto" w:sz="8" w:space="0"/>
              <w:bottom w:val="single" w:color="auto" w:sz="4" w:space="0"/>
              <w:right w:val="single" w:color="000000" w:sz="8" w:space="0"/>
            </w:tcBorders>
            <w:vAlign w:val="center"/>
          </w:tcPr>
          <w:p w14:paraId="339A09DB">
            <w:pPr>
              <w:rPr>
                <w:rFonts w:ascii="宋体" w:hAnsi="宋体" w:cs="宋体"/>
                <w:szCs w:val="21"/>
              </w:rPr>
            </w:pPr>
          </w:p>
        </w:tc>
        <w:tc>
          <w:tcPr>
            <w:tcW w:w="0" w:type="auto"/>
            <w:vAlign w:val="center"/>
          </w:tcPr>
          <w:p w14:paraId="3778EE27">
            <w:pPr>
              <w:rPr>
                <w:szCs w:val="21"/>
              </w:rPr>
            </w:pPr>
          </w:p>
        </w:tc>
      </w:tr>
      <w:tr w14:paraId="58359451">
        <w:tblPrEx>
          <w:tblCellMar>
            <w:top w:w="0" w:type="dxa"/>
            <w:left w:w="108" w:type="dxa"/>
            <w:bottom w:w="0" w:type="dxa"/>
            <w:right w:w="108" w:type="dxa"/>
          </w:tblCellMar>
        </w:tblPrEx>
        <w:trPr>
          <w:trHeight w:val="312" w:hRule="atLeast"/>
          <w:jc w:val="center"/>
        </w:trPr>
        <w:tc>
          <w:tcPr>
            <w:tcW w:w="0" w:type="auto"/>
            <w:gridSpan w:val="2"/>
            <w:vMerge w:val="continue"/>
            <w:tcBorders>
              <w:top w:val="single" w:color="000000" w:sz="8" w:space="0"/>
              <w:left w:val="single" w:color="auto" w:sz="8" w:space="0"/>
              <w:bottom w:val="single" w:color="auto" w:sz="4" w:space="0"/>
              <w:right w:val="single" w:color="000000" w:sz="8" w:space="0"/>
            </w:tcBorders>
            <w:vAlign w:val="center"/>
          </w:tcPr>
          <w:p w14:paraId="1B1E323E">
            <w:pPr>
              <w:rPr>
                <w:rFonts w:ascii="宋体" w:hAnsi="宋体" w:cs="宋体"/>
                <w:szCs w:val="21"/>
              </w:rPr>
            </w:pPr>
          </w:p>
        </w:tc>
        <w:tc>
          <w:tcPr>
            <w:tcW w:w="0" w:type="auto"/>
            <w:gridSpan w:val="6"/>
            <w:vMerge w:val="continue"/>
            <w:tcBorders>
              <w:top w:val="single" w:color="000000" w:sz="8" w:space="0"/>
              <w:left w:val="single" w:color="auto" w:sz="8" w:space="0"/>
              <w:bottom w:val="single" w:color="auto" w:sz="4" w:space="0"/>
              <w:right w:val="single" w:color="000000" w:sz="8" w:space="0"/>
            </w:tcBorders>
            <w:vAlign w:val="center"/>
          </w:tcPr>
          <w:p w14:paraId="707A3782">
            <w:pPr>
              <w:rPr>
                <w:rFonts w:ascii="宋体" w:hAnsi="宋体" w:cs="宋体"/>
                <w:szCs w:val="21"/>
              </w:rPr>
            </w:pPr>
          </w:p>
        </w:tc>
        <w:tc>
          <w:tcPr>
            <w:tcW w:w="0" w:type="auto"/>
            <w:vAlign w:val="center"/>
          </w:tcPr>
          <w:p w14:paraId="1BB05EE7">
            <w:pPr>
              <w:rPr>
                <w:rFonts w:ascii="Times New Roman" w:hAnsi="Times New Roman" w:cs="Times New Roman"/>
                <w:sz w:val="20"/>
                <w:szCs w:val="20"/>
              </w:rPr>
            </w:pPr>
          </w:p>
        </w:tc>
      </w:tr>
      <w:tr w14:paraId="3CA92796">
        <w:tblPrEx>
          <w:tblCellMar>
            <w:top w:w="0" w:type="dxa"/>
            <w:left w:w="108" w:type="dxa"/>
            <w:bottom w:w="0" w:type="dxa"/>
            <w:right w:w="108" w:type="dxa"/>
          </w:tblCellMar>
        </w:tblPrEx>
        <w:trPr>
          <w:trHeight w:val="312" w:hRule="atLeast"/>
          <w:jc w:val="center"/>
        </w:trPr>
        <w:tc>
          <w:tcPr>
            <w:tcW w:w="0" w:type="auto"/>
            <w:gridSpan w:val="2"/>
            <w:vMerge w:val="continue"/>
            <w:tcBorders>
              <w:top w:val="single" w:color="000000" w:sz="8" w:space="0"/>
              <w:left w:val="single" w:color="auto" w:sz="8" w:space="0"/>
              <w:bottom w:val="single" w:color="auto" w:sz="4" w:space="0"/>
              <w:right w:val="single" w:color="000000" w:sz="8" w:space="0"/>
            </w:tcBorders>
            <w:vAlign w:val="center"/>
          </w:tcPr>
          <w:p w14:paraId="1A87BD72">
            <w:pPr>
              <w:rPr>
                <w:rFonts w:ascii="宋体" w:hAnsi="宋体" w:cs="宋体"/>
                <w:szCs w:val="21"/>
              </w:rPr>
            </w:pPr>
          </w:p>
        </w:tc>
        <w:tc>
          <w:tcPr>
            <w:tcW w:w="0" w:type="auto"/>
            <w:gridSpan w:val="6"/>
            <w:vMerge w:val="continue"/>
            <w:tcBorders>
              <w:top w:val="single" w:color="000000" w:sz="8" w:space="0"/>
              <w:left w:val="single" w:color="auto" w:sz="8" w:space="0"/>
              <w:bottom w:val="single" w:color="auto" w:sz="4" w:space="0"/>
              <w:right w:val="single" w:color="000000" w:sz="8" w:space="0"/>
            </w:tcBorders>
            <w:vAlign w:val="center"/>
          </w:tcPr>
          <w:p w14:paraId="647B85F8">
            <w:pPr>
              <w:rPr>
                <w:rFonts w:ascii="宋体" w:hAnsi="宋体" w:cs="宋体"/>
                <w:szCs w:val="21"/>
              </w:rPr>
            </w:pPr>
          </w:p>
        </w:tc>
        <w:tc>
          <w:tcPr>
            <w:tcW w:w="0" w:type="auto"/>
            <w:vAlign w:val="center"/>
          </w:tcPr>
          <w:p w14:paraId="71CF66D7">
            <w:pPr>
              <w:rPr>
                <w:rFonts w:ascii="Times New Roman" w:hAnsi="Times New Roman" w:cs="Times New Roman"/>
                <w:sz w:val="20"/>
                <w:szCs w:val="20"/>
              </w:rPr>
            </w:pPr>
          </w:p>
        </w:tc>
      </w:tr>
      <w:tr w14:paraId="00E3E11D">
        <w:tblPrEx>
          <w:tblCellMar>
            <w:top w:w="0" w:type="dxa"/>
            <w:left w:w="108" w:type="dxa"/>
            <w:bottom w:w="0" w:type="dxa"/>
            <w:right w:w="108" w:type="dxa"/>
          </w:tblCellMar>
        </w:tblPrEx>
        <w:trPr>
          <w:trHeight w:val="312" w:hRule="atLeast"/>
          <w:jc w:val="center"/>
        </w:trPr>
        <w:tc>
          <w:tcPr>
            <w:tcW w:w="0" w:type="auto"/>
            <w:gridSpan w:val="2"/>
            <w:vMerge w:val="continue"/>
            <w:tcBorders>
              <w:top w:val="single" w:color="000000" w:sz="8" w:space="0"/>
              <w:left w:val="single" w:color="auto" w:sz="8" w:space="0"/>
              <w:bottom w:val="single" w:color="auto" w:sz="4" w:space="0"/>
              <w:right w:val="single" w:color="000000" w:sz="8" w:space="0"/>
            </w:tcBorders>
            <w:vAlign w:val="center"/>
          </w:tcPr>
          <w:p w14:paraId="40608B78">
            <w:pPr>
              <w:rPr>
                <w:rFonts w:ascii="宋体" w:hAnsi="宋体" w:cs="宋体"/>
                <w:szCs w:val="21"/>
              </w:rPr>
            </w:pPr>
          </w:p>
        </w:tc>
        <w:tc>
          <w:tcPr>
            <w:tcW w:w="0" w:type="auto"/>
            <w:gridSpan w:val="6"/>
            <w:vMerge w:val="continue"/>
            <w:tcBorders>
              <w:top w:val="single" w:color="000000" w:sz="8" w:space="0"/>
              <w:left w:val="single" w:color="auto" w:sz="8" w:space="0"/>
              <w:bottom w:val="single" w:color="auto" w:sz="4" w:space="0"/>
              <w:right w:val="single" w:color="000000" w:sz="8" w:space="0"/>
            </w:tcBorders>
            <w:vAlign w:val="center"/>
          </w:tcPr>
          <w:p w14:paraId="52D35C99">
            <w:pPr>
              <w:rPr>
                <w:rFonts w:ascii="宋体" w:hAnsi="宋体" w:cs="宋体"/>
                <w:szCs w:val="21"/>
              </w:rPr>
            </w:pPr>
          </w:p>
        </w:tc>
        <w:tc>
          <w:tcPr>
            <w:tcW w:w="0" w:type="auto"/>
            <w:vAlign w:val="center"/>
          </w:tcPr>
          <w:p w14:paraId="119449E7">
            <w:pPr>
              <w:rPr>
                <w:rFonts w:ascii="Times New Roman" w:hAnsi="Times New Roman" w:cs="Times New Roman"/>
                <w:sz w:val="20"/>
                <w:szCs w:val="20"/>
              </w:rPr>
            </w:pPr>
          </w:p>
        </w:tc>
      </w:tr>
      <w:tr w14:paraId="32491423">
        <w:tblPrEx>
          <w:tblCellMar>
            <w:top w:w="0" w:type="dxa"/>
            <w:left w:w="108" w:type="dxa"/>
            <w:bottom w:w="0" w:type="dxa"/>
            <w:right w:w="108" w:type="dxa"/>
          </w:tblCellMar>
        </w:tblPrEx>
        <w:trPr>
          <w:trHeight w:val="558" w:hRule="atLeast"/>
          <w:jc w:val="center"/>
        </w:trPr>
        <w:tc>
          <w:tcPr>
            <w:tcW w:w="1705" w:type="dxa"/>
            <w:gridSpan w:val="2"/>
            <w:tcBorders>
              <w:top w:val="single" w:color="auto" w:sz="4" w:space="0"/>
              <w:left w:val="single" w:color="auto" w:sz="4" w:space="0"/>
              <w:bottom w:val="single" w:color="auto" w:sz="4" w:space="0"/>
              <w:right w:val="single" w:color="auto" w:sz="4" w:space="0"/>
            </w:tcBorders>
            <w:vAlign w:val="center"/>
          </w:tcPr>
          <w:p w14:paraId="413FBFDF">
            <w:pPr>
              <w:jc w:val="center"/>
              <w:rPr>
                <w:rFonts w:ascii="宋体" w:hAnsi="宋体" w:cs="宋体"/>
                <w:szCs w:val="21"/>
              </w:rPr>
            </w:pPr>
            <w:r>
              <w:rPr>
                <w:rFonts w:hint="eastAsia"/>
                <w:sz w:val="22"/>
              </w:rPr>
              <w:t>工作人员</w:t>
            </w:r>
          </w:p>
        </w:tc>
        <w:tc>
          <w:tcPr>
            <w:tcW w:w="7352" w:type="dxa"/>
            <w:gridSpan w:val="6"/>
            <w:tcBorders>
              <w:top w:val="single" w:color="auto" w:sz="4" w:space="0"/>
              <w:left w:val="single" w:color="auto" w:sz="4" w:space="0"/>
              <w:bottom w:val="single" w:color="auto" w:sz="4" w:space="0"/>
              <w:right w:val="single" w:color="auto" w:sz="4" w:space="0"/>
            </w:tcBorders>
            <w:vAlign w:val="center"/>
          </w:tcPr>
          <w:p w14:paraId="45B0998A">
            <w:pPr>
              <w:rPr>
                <w:szCs w:val="21"/>
              </w:rPr>
            </w:pPr>
          </w:p>
        </w:tc>
        <w:tc>
          <w:tcPr>
            <w:tcW w:w="0" w:type="auto"/>
            <w:vAlign w:val="center"/>
          </w:tcPr>
          <w:p w14:paraId="22FF2C09">
            <w:pPr>
              <w:rPr>
                <w:rFonts w:ascii="Times New Roman" w:hAnsi="Times New Roman" w:cs="Times New Roman"/>
                <w:sz w:val="20"/>
                <w:szCs w:val="20"/>
              </w:rPr>
            </w:pPr>
          </w:p>
        </w:tc>
      </w:tr>
    </w:tbl>
    <w:p w14:paraId="38964567">
      <w:pPr>
        <w:pStyle w:val="22"/>
        <w:ind w:left="0" w:leftChars="0" w:firstLine="0" w:firstLineChars="0"/>
        <w:rPr>
          <w:rFonts w:ascii="Times New Roman" w:hAnsi="Times New Roman" w:cs="Times New Roman"/>
          <w:b/>
          <w:bCs/>
          <w:sz w:val="30"/>
          <w:szCs w:val="30"/>
        </w:rPr>
      </w:pPr>
    </w:p>
    <w:p w14:paraId="77F14D37">
      <w:pPr>
        <w:widowControl/>
        <w:rPr>
          <w:rFonts w:ascii="Times New Roman" w:hAnsi="Times New Roman" w:cs="Times New Roman"/>
          <w:b/>
          <w:bCs/>
          <w:sz w:val="30"/>
          <w:szCs w:val="30"/>
        </w:rPr>
      </w:pPr>
      <w:r>
        <w:rPr>
          <w:rFonts w:ascii="Times New Roman" w:hAnsi="Times New Roman" w:cs="Times New Roman"/>
          <w:b/>
          <w:bCs/>
          <w:sz w:val="30"/>
          <w:szCs w:val="30"/>
        </w:rPr>
        <w:br w:type="page"/>
      </w:r>
    </w:p>
    <w:p w14:paraId="7F2C3E26">
      <w:pPr>
        <w:pStyle w:val="22"/>
        <w:ind w:left="0" w:leftChars="0" w:firstLine="0" w:firstLineChars="0"/>
        <w:rPr>
          <w:rFonts w:ascii="Times New Roman" w:hAnsi="Times New Roman" w:cs="Times New Roman"/>
          <w:b/>
          <w:bCs/>
          <w:sz w:val="30"/>
          <w:szCs w:val="30"/>
        </w:rPr>
      </w:pPr>
    </w:p>
    <w:p w14:paraId="5F592BB8">
      <w:pPr>
        <w:pStyle w:val="22"/>
        <w:ind w:left="0" w:leftChars="0" w:firstLine="0" w:firstLineChars="0"/>
        <w:jc w:val="center"/>
        <w:rPr>
          <w:rFonts w:ascii="Times New Roman" w:hAnsi="Times New Roman" w:cs="Times New Roman"/>
          <w:b/>
          <w:bCs/>
          <w:sz w:val="30"/>
          <w:szCs w:val="30"/>
          <w:highlight w:val="none"/>
        </w:rPr>
      </w:pPr>
      <w:r>
        <w:rPr>
          <w:rFonts w:ascii="Times New Roman" w:hAnsi="Times New Roman" w:cs="Times New Roman"/>
          <w:b/>
          <w:bCs/>
          <w:sz w:val="30"/>
          <w:szCs w:val="30"/>
          <w:highlight w:val="none"/>
        </w:rPr>
        <w:t>2. 评分表</w:t>
      </w:r>
    </w:p>
    <w:tbl>
      <w:tblPr>
        <w:tblStyle w:val="23"/>
        <w:tblW w:w="9464" w:type="dxa"/>
        <w:tblInd w:w="113"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535"/>
        <w:gridCol w:w="991"/>
        <w:gridCol w:w="2835"/>
        <w:gridCol w:w="5103"/>
      </w:tblGrid>
      <w:tr w14:paraId="533BEDC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526" w:type="dxa"/>
            <w:gridSpan w:val="2"/>
            <w:vAlign w:val="center"/>
          </w:tcPr>
          <w:p w14:paraId="7AEF0BAE">
            <w:pPr>
              <w:pStyle w:val="46"/>
              <w:shd w:val="clear" w:color="auto" w:fill="auto"/>
              <w:spacing w:before="0" w:line="360" w:lineRule="auto"/>
              <w:ind w:right="-8"/>
              <w:jc w:val="center"/>
              <w:rPr>
                <w:rFonts w:ascii="宋体" w:hAnsi="宋体" w:eastAsia="宋体" w:cs="Times New Roman"/>
                <w:color w:val="auto"/>
                <w:sz w:val="24"/>
                <w:szCs w:val="24"/>
                <w:lang w:val="zh-TW" w:eastAsia="zh-TW"/>
              </w:rPr>
            </w:pPr>
            <w:r>
              <w:rPr>
                <w:rFonts w:ascii="宋体" w:hAnsi="宋体" w:eastAsia="宋体" w:cs="Times New Roman"/>
                <w:color w:val="auto"/>
                <w:sz w:val="24"/>
                <w:szCs w:val="24"/>
                <w:lang w:val="zh-TW" w:eastAsia="zh-TW"/>
              </w:rPr>
              <w:t>条款号</w:t>
            </w:r>
          </w:p>
        </w:tc>
        <w:tc>
          <w:tcPr>
            <w:tcW w:w="2835" w:type="dxa"/>
            <w:vAlign w:val="center"/>
          </w:tcPr>
          <w:p w14:paraId="3FA00A3F">
            <w:pPr>
              <w:pStyle w:val="46"/>
              <w:shd w:val="clear" w:color="auto" w:fill="auto"/>
              <w:spacing w:before="0" w:line="360" w:lineRule="auto"/>
              <w:ind w:right="-8"/>
              <w:jc w:val="center"/>
              <w:rPr>
                <w:rFonts w:ascii="宋体" w:hAnsi="宋体" w:eastAsia="宋体" w:cs="Times New Roman"/>
                <w:color w:val="auto"/>
                <w:sz w:val="24"/>
                <w:szCs w:val="24"/>
                <w:lang w:val="zh-TW" w:eastAsia="zh-TW"/>
              </w:rPr>
            </w:pPr>
            <w:r>
              <w:rPr>
                <w:rFonts w:ascii="宋体" w:hAnsi="宋体" w:eastAsia="宋体" w:cs="Times New Roman"/>
                <w:color w:val="auto"/>
                <w:sz w:val="24"/>
                <w:szCs w:val="24"/>
                <w:lang w:val="zh-TW" w:eastAsia="zh-TW"/>
              </w:rPr>
              <w:t>评分因素（偏差率）</w:t>
            </w:r>
          </w:p>
        </w:tc>
        <w:tc>
          <w:tcPr>
            <w:tcW w:w="5103" w:type="dxa"/>
            <w:vAlign w:val="center"/>
          </w:tcPr>
          <w:p w14:paraId="79B5EC6C">
            <w:pPr>
              <w:pStyle w:val="46"/>
              <w:shd w:val="clear" w:color="auto" w:fill="auto"/>
              <w:spacing w:before="0" w:line="360" w:lineRule="auto"/>
              <w:ind w:right="-8"/>
              <w:jc w:val="center"/>
              <w:rPr>
                <w:rFonts w:ascii="宋体" w:hAnsi="宋体" w:eastAsia="宋体" w:cs="Times New Roman"/>
                <w:color w:val="auto"/>
                <w:sz w:val="24"/>
                <w:szCs w:val="24"/>
                <w:lang w:val="zh-TW" w:eastAsia="zh-TW"/>
              </w:rPr>
            </w:pPr>
            <w:r>
              <w:rPr>
                <w:rFonts w:ascii="宋体" w:hAnsi="宋体" w:eastAsia="宋体" w:cs="Times New Roman"/>
                <w:color w:val="auto"/>
                <w:sz w:val="24"/>
                <w:szCs w:val="24"/>
                <w:lang w:val="zh-TW" w:eastAsia="zh-TW"/>
              </w:rPr>
              <w:t>评分标准</w:t>
            </w:r>
          </w:p>
        </w:tc>
      </w:tr>
      <w:tr w14:paraId="60917E8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44" w:hRule="atLeast"/>
        </w:trPr>
        <w:tc>
          <w:tcPr>
            <w:tcW w:w="535" w:type="dxa"/>
            <w:vMerge w:val="restart"/>
            <w:vAlign w:val="center"/>
          </w:tcPr>
          <w:p w14:paraId="3D1D1580">
            <w:pPr>
              <w:pStyle w:val="46"/>
              <w:shd w:val="clear" w:color="auto" w:fill="auto"/>
              <w:spacing w:before="0" w:line="360" w:lineRule="auto"/>
              <w:ind w:right="-8"/>
              <w:jc w:val="center"/>
              <w:rPr>
                <w:rFonts w:ascii="宋体" w:hAnsi="宋体" w:eastAsia="宋体" w:cs="Times New Roman"/>
                <w:color w:val="auto"/>
                <w:sz w:val="24"/>
                <w:szCs w:val="24"/>
                <w:lang w:val="zh-TW" w:eastAsia="zh-TW"/>
              </w:rPr>
            </w:pPr>
            <w:r>
              <w:rPr>
                <w:rFonts w:ascii="宋体" w:hAnsi="宋体" w:eastAsia="宋体" w:cs="Times New Roman"/>
                <w:color w:val="auto"/>
                <w:sz w:val="24"/>
                <w:szCs w:val="24"/>
                <w:lang w:val="zh-TW" w:eastAsia="zh-TW"/>
              </w:rPr>
              <w:t>1</w:t>
            </w:r>
          </w:p>
        </w:tc>
        <w:tc>
          <w:tcPr>
            <w:tcW w:w="991" w:type="dxa"/>
            <w:vMerge w:val="restart"/>
            <w:vAlign w:val="center"/>
          </w:tcPr>
          <w:p w14:paraId="1FCEAA2A">
            <w:pPr>
              <w:pStyle w:val="46"/>
              <w:shd w:val="clear" w:color="auto" w:fill="auto"/>
              <w:spacing w:before="0" w:line="240" w:lineRule="auto"/>
              <w:jc w:val="left"/>
              <w:rPr>
                <w:rFonts w:ascii="宋体" w:hAnsi="宋体" w:eastAsia="宋体" w:cs="Times New Roman"/>
                <w:color w:val="auto"/>
                <w:sz w:val="24"/>
                <w:szCs w:val="24"/>
                <w:lang w:val="zh-TW"/>
              </w:rPr>
            </w:pPr>
            <w:r>
              <w:rPr>
                <w:rFonts w:ascii="宋体" w:hAnsi="宋体" w:eastAsia="宋体" w:cs="Times New Roman"/>
                <w:color w:val="auto"/>
                <w:sz w:val="24"/>
                <w:szCs w:val="24"/>
                <w:lang w:val="zh-TW"/>
              </w:rPr>
              <w:t>资信业绩评分</w:t>
            </w:r>
          </w:p>
          <w:p w14:paraId="5662DEDB">
            <w:pPr>
              <w:pStyle w:val="46"/>
              <w:shd w:val="clear" w:color="auto" w:fill="auto"/>
              <w:spacing w:before="0" w:line="240" w:lineRule="auto"/>
              <w:jc w:val="left"/>
              <w:rPr>
                <w:rFonts w:ascii="宋体" w:hAnsi="宋体" w:eastAsia="宋体" w:cs="Times New Roman"/>
                <w:color w:val="auto"/>
                <w:sz w:val="24"/>
                <w:szCs w:val="24"/>
                <w:lang w:val="zh-TW"/>
              </w:rPr>
            </w:pPr>
            <w:r>
              <w:rPr>
                <w:rFonts w:ascii="宋体" w:hAnsi="宋体" w:eastAsia="宋体" w:cs="Times New Roman"/>
                <w:color w:val="auto"/>
                <w:sz w:val="24"/>
                <w:szCs w:val="24"/>
                <w:lang w:val="zh-TW"/>
              </w:rPr>
              <w:t>标准</w:t>
            </w:r>
          </w:p>
          <w:p w14:paraId="2A0C49FB">
            <w:pPr>
              <w:pStyle w:val="46"/>
              <w:shd w:val="clear" w:color="auto" w:fill="auto"/>
              <w:spacing w:before="0" w:line="360" w:lineRule="auto"/>
              <w:ind w:left="-108" w:leftChars="-45" w:right="-108"/>
              <w:jc w:val="left"/>
              <w:rPr>
                <w:rFonts w:ascii="宋体" w:hAnsi="宋体" w:eastAsia="宋体" w:cs="Times New Roman"/>
                <w:color w:val="auto"/>
                <w:sz w:val="24"/>
                <w:szCs w:val="24"/>
                <w:lang w:val="zh-TW"/>
              </w:rPr>
            </w:pPr>
            <w:r>
              <w:rPr>
                <w:rFonts w:ascii="宋体" w:hAnsi="宋体" w:eastAsia="宋体" w:cs="Times New Roman"/>
                <w:color w:val="auto"/>
                <w:sz w:val="24"/>
                <w:szCs w:val="24"/>
                <w:lang w:val="zh-TW"/>
              </w:rPr>
              <w:t>（</w:t>
            </w:r>
            <w:r>
              <w:rPr>
                <w:rFonts w:hint="eastAsia" w:ascii="宋体" w:hAnsi="宋体" w:eastAsia="宋体" w:cs="Times New Roman"/>
                <w:color w:val="auto"/>
                <w:sz w:val="24"/>
                <w:szCs w:val="24"/>
                <w:lang w:val="en-US"/>
              </w:rPr>
              <w:t>8</w:t>
            </w:r>
            <w:r>
              <w:rPr>
                <w:rFonts w:ascii="宋体" w:hAnsi="宋体" w:eastAsia="宋体" w:cs="Times New Roman"/>
                <w:color w:val="auto"/>
                <w:sz w:val="24"/>
                <w:szCs w:val="24"/>
                <w:lang w:val="zh-TW"/>
              </w:rPr>
              <w:t>分）</w:t>
            </w:r>
          </w:p>
        </w:tc>
        <w:tc>
          <w:tcPr>
            <w:tcW w:w="2835" w:type="dxa"/>
            <w:vAlign w:val="center"/>
          </w:tcPr>
          <w:p w14:paraId="347EF488">
            <w:pPr>
              <w:pStyle w:val="46"/>
              <w:shd w:val="clear" w:color="auto" w:fill="auto"/>
              <w:spacing w:before="0" w:line="360" w:lineRule="auto"/>
              <w:ind w:right="-8"/>
              <w:jc w:val="center"/>
              <w:rPr>
                <w:rFonts w:ascii="宋体" w:hAnsi="宋体" w:eastAsia="宋体" w:cs="Times New Roman"/>
                <w:color w:val="auto"/>
                <w:sz w:val="24"/>
                <w:szCs w:val="24"/>
                <w:lang w:val="zh-TW"/>
              </w:rPr>
            </w:pPr>
            <w:r>
              <w:rPr>
                <w:rFonts w:ascii="宋体" w:hAnsi="宋体" w:eastAsia="宋体" w:cs="Times New Roman"/>
                <w:color w:val="auto"/>
                <w:sz w:val="24"/>
                <w:szCs w:val="24"/>
                <w:lang w:val="zh-TW"/>
              </w:rPr>
              <w:t>投标人</w:t>
            </w:r>
            <w:r>
              <w:rPr>
                <w:rFonts w:hint="eastAsia" w:ascii="宋体" w:hAnsi="宋体" w:eastAsia="宋体" w:cs="Times New Roman"/>
                <w:color w:val="auto"/>
                <w:sz w:val="24"/>
                <w:szCs w:val="24"/>
                <w:lang w:val="zh-TW"/>
              </w:rPr>
              <w:t>工程</w:t>
            </w:r>
            <w:r>
              <w:rPr>
                <w:rFonts w:hint="eastAsia" w:ascii="宋体" w:hAnsi="宋体" w:eastAsia="宋体" w:cs="Times New Roman"/>
                <w:color w:val="auto"/>
                <w:sz w:val="24"/>
                <w:szCs w:val="24"/>
                <w:lang w:val="en-US"/>
              </w:rPr>
              <w:t>监理</w:t>
            </w:r>
            <w:r>
              <w:rPr>
                <w:rFonts w:ascii="宋体" w:hAnsi="宋体" w:eastAsia="宋体" w:cs="Times New Roman"/>
                <w:color w:val="auto"/>
                <w:sz w:val="24"/>
                <w:szCs w:val="24"/>
                <w:lang w:val="zh-TW"/>
              </w:rPr>
              <w:t>项目业绩</w:t>
            </w:r>
          </w:p>
        </w:tc>
        <w:tc>
          <w:tcPr>
            <w:tcW w:w="5103" w:type="dxa"/>
          </w:tcPr>
          <w:p w14:paraId="0577D0CA">
            <w:pPr>
              <w:pStyle w:val="46"/>
              <w:shd w:val="clear" w:color="auto" w:fill="auto"/>
              <w:spacing w:before="0" w:line="360" w:lineRule="auto"/>
              <w:ind w:right="-8"/>
              <w:jc w:val="both"/>
              <w:rPr>
                <w:rFonts w:ascii="宋体" w:hAnsi="宋体" w:eastAsia="宋体" w:cs="Times New Roman"/>
                <w:color w:val="auto"/>
                <w:sz w:val="24"/>
                <w:szCs w:val="24"/>
                <w:lang w:val="zh-TW"/>
              </w:rPr>
            </w:pPr>
            <w:r>
              <w:rPr>
                <w:rFonts w:ascii="宋体" w:hAnsi="宋体" w:eastAsia="宋体" w:cs="Times New Roman"/>
                <w:color w:val="auto"/>
                <w:sz w:val="24"/>
                <w:szCs w:val="24"/>
                <w:highlight w:val="none"/>
                <w:shd w:val="clear"/>
                <w:lang w:val="zh-TW"/>
              </w:rPr>
              <w:t>202</w:t>
            </w:r>
            <w:r>
              <w:rPr>
                <w:rFonts w:hint="eastAsia" w:ascii="宋体" w:hAnsi="宋体" w:eastAsia="宋体" w:cs="Times New Roman"/>
                <w:color w:val="auto"/>
                <w:sz w:val="24"/>
                <w:szCs w:val="24"/>
                <w:highlight w:val="none"/>
                <w:shd w:val="clear"/>
                <w:lang w:val="en-US"/>
              </w:rPr>
              <w:t>3</w:t>
            </w:r>
            <w:r>
              <w:rPr>
                <w:rFonts w:ascii="宋体" w:hAnsi="宋体" w:eastAsia="宋体" w:cs="Times New Roman"/>
                <w:color w:val="auto"/>
                <w:sz w:val="24"/>
                <w:szCs w:val="24"/>
                <w:lang w:val="zh-TW"/>
              </w:rPr>
              <w:t>年1月1日至开标日期，每项业绩得1分，最多得3分。</w:t>
            </w:r>
          </w:p>
        </w:tc>
      </w:tr>
      <w:tr w14:paraId="7F01279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35" w:type="dxa"/>
            <w:vMerge w:val="continue"/>
            <w:vAlign w:val="center"/>
          </w:tcPr>
          <w:p w14:paraId="48AF8371">
            <w:pPr>
              <w:pStyle w:val="46"/>
              <w:shd w:val="clear" w:color="auto" w:fill="auto"/>
              <w:spacing w:before="0" w:line="360" w:lineRule="auto"/>
              <w:ind w:right="-8"/>
              <w:jc w:val="center"/>
              <w:rPr>
                <w:rFonts w:ascii="宋体" w:hAnsi="宋体" w:eastAsia="宋体" w:cs="Times New Roman"/>
                <w:color w:val="auto"/>
                <w:sz w:val="24"/>
                <w:szCs w:val="24"/>
                <w:lang w:val="zh-TW"/>
              </w:rPr>
            </w:pPr>
          </w:p>
        </w:tc>
        <w:tc>
          <w:tcPr>
            <w:tcW w:w="991" w:type="dxa"/>
            <w:vMerge w:val="continue"/>
            <w:vAlign w:val="center"/>
          </w:tcPr>
          <w:p w14:paraId="105258B3">
            <w:pPr>
              <w:pStyle w:val="46"/>
              <w:shd w:val="clear" w:color="auto" w:fill="auto"/>
              <w:spacing w:before="0" w:line="360" w:lineRule="auto"/>
              <w:ind w:right="-8"/>
              <w:jc w:val="center"/>
              <w:rPr>
                <w:rFonts w:ascii="宋体" w:hAnsi="宋体" w:eastAsia="宋体" w:cs="Times New Roman"/>
                <w:color w:val="auto"/>
                <w:sz w:val="24"/>
                <w:szCs w:val="24"/>
                <w:lang w:val="zh-TW"/>
              </w:rPr>
            </w:pPr>
          </w:p>
        </w:tc>
        <w:tc>
          <w:tcPr>
            <w:tcW w:w="2835" w:type="dxa"/>
            <w:vAlign w:val="center"/>
          </w:tcPr>
          <w:p w14:paraId="42218BEA">
            <w:pPr>
              <w:pStyle w:val="46"/>
              <w:shd w:val="clear" w:color="auto" w:fill="auto"/>
              <w:spacing w:before="0" w:line="360" w:lineRule="auto"/>
              <w:ind w:right="-8"/>
              <w:jc w:val="center"/>
              <w:rPr>
                <w:rFonts w:ascii="宋体" w:hAnsi="宋体" w:eastAsia="宋体" w:cs="Times New Roman"/>
                <w:color w:val="auto"/>
                <w:sz w:val="24"/>
                <w:szCs w:val="24"/>
                <w:lang w:val="zh-TW" w:eastAsia="zh-TW"/>
              </w:rPr>
            </w:pPr>
            <w:r>
              <w:rPr>
                <w:rFonts w:ascii="宋体" w:hAnsi="宋体" w:eastAsia="宋体" w:cs="Times New Roman"/>
                <w:color w:val="auto"/>
                <w:sz w:val="24"/>
                <w:szCs w:val="24"/>
                <w:lang w:val="zh-TW" w:eastAsia="zh-TW"/>
              </w:rPr>
              <w:t>总监理工程师资历</w:t>
            </w:r>
          </w:p>
        </w:tc>
        <w:tc>
          <w:tcPr>
            <w:tcW w:w="5103" w:type="dxa"/>
          </w:tcPr>
          <w:p w14:paraId="1C017563">
            <w:pPr>
              <w:pStyle w:val="46"/>
              <w:shd w:val="clear" w:color="auto" w:fill="auto"/>
              <w:spacing w:before="0" w:line="360" w:lineRule="auto"/>
              <w:ind w:right="-8"/>
              <w:jc w:val="both"/>
              <w:rPr>
                <w:rFonts w:ascii="宋体" w:hAnsi="宋体" w:eastAsia="宋体" w:cs="Times New Roman"/>
                <w:color w:val="auto"/>
                <w:sz w:val="24"/>
                <w:szCs w:val="24"/>
                <w:lang w:val="zh-TW"/>
              </w:rPr>
            </w:pPr>
            <w:r>
              <w:rPr>
                <w:rFonts w:ascii="宋体" w:hAnsi="宋体" w:eastAsia="宋体" w:cs="Times New Roman"/>
                <w:color w:val="auto"/>
                <w:sz w:val="24"/>
                <w:szCs w:val="24"/>
                <w:lang w:val="zh-TW"/>
              </w:rPr>
              <w:t>总监理工程师为</w:t>
            </w:r>
            <w:r>
              <w:rPr>
                <w:rFonts w:hint="eastAsia" w:ascii="宋体" w:hAnsi="宋体" w:eastAsia="宋体" w:cs="Times New Roman"/>
                <w:color w:val="auto"/>
                <w:sz w:val="24"/>
                <w:szCs w:val="24"/>
                <w:lang w:val="zh-TW"/>
              </w:rPr>
              <w:t>建筑工程</w:t>
            </w:r>
            <w:r>
              <w:rPr>
                <w:rFonts w:ascii="宋体" w:hAnsi="宋体" w:eastAsia="宋体" w:cs="Times New Roman"/>
                <w:color w:val="auto"/>
                <w:sz w:val="24"/>
                <w:szCs w:val="24"/>
                <w:lang w:val="zh-TW"/>
              </w:rPr>
              <w:t>相关专业高级工程师的，得2分；工程师的，得1分。</w:t>
            </w:r>
          </w:p>
        </w:tc>
      </w:tr>
      <w:tr w14:paraId="057B966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35" w:type="dxa"/>
            <w:vMerge w:val="continue"/>
            <w:vAlign w:val="center"/>
          </w:tcPr>
          <w:p w14:paraId="6A58906A">
            <w:pPr>
              <w:pStyle w:val="46"/>
              <w:shd w:val="clear" w:color="auto" w:fill="auto"/>
              <w:spacing w:before="0" w:line="360" w:lineRule="auto"/>
              <w:ind w:right="-8"/>
              <w:jc w:val="center"/>
              <w:rPr>
                <w:rFonts w:ascii="宋体" w:hAnsi="宋体" w:eastAsia="宋体" w:cs="Times New Roman"/>
                <w:color w:val="auto"/>
                <w:sz w:val="24"/>
                <w:szCs w:val="24"/>
                <w:lang w:val="zh-TW"/>
              </w:rPr>
            </w:pPr>
          </w:p>
        </w:tc>
        <w:tc>
          <w:tcPr>
            <w:tcW w:w="991" w:type="dxa"/>
            <w:vMerge w:val="continue"/>
            <w:vAlign w:val="center"/>
          </w:tcPr>
          <w:p w14:paraId="62A91423">
            <w:pPr>
              <w:pStyle w:val="46"/>
              <w:shd w:val="clear" w:color="auto" w:fill="auto"/>
              <w:spacing w:before="0" w:line="360" w:lineRule="auto"/>
              <w:ind w:right="-8"/>
              <w:jc w:val="center"/>
              <w:rPr>
                <w:rFonts w:ascii="宋体" w:hAnsi="宋体" w:eastAsia="宋体" w:cs="Times New Roman"/>
                <w:color w:val="auto"/>
                <w:sz w:val="24"/>
                <w:szCs w:val="24"/>
                <w:lang w:val="zh-TW"/>
              </w:rPr>
            </w:pPr>
          </w:p>
        </w:tc>
        <w:tc>
          <w:tcPr>
            <w:tcW w:w="2835" w:type="dxa"/>
            <w:vAlign w:val="center"/>
          </w:tcPr>
          <w:p w14:paraId="0B76768F">
            <w:pPr>
              <w:pStyle w:val="46"/>
              <w:shd w:val="clear" w:color="auto" w:fill="auto"/>
              <w:spacing w:before="0" w:line="360" w:lineRule="auto"/>
              <w:ind w:right="-8"/>
              <w:jc w:val="center"/>
              <w:rPr>
                <w:rFonts w:ascii="宋体" w:hAnsi="宋体" w:eastAsia="宋体" w:cs="Times New Roman"/>
                <w:color w:val="auto"/>
                <w:sz w:val="24"/>
                <w:szCs w:val="24"/>
                <w:lang w:val="zh-TW" w:eastAsia="zh-TW"/>
              </w:rPr>
            </w:pPr>
            <w:r>
              <w:rPr>
                <w:rFonts w:ascii="宋体" w:hAnsi="宋体" w:eastAsia="宋体" w:cs="Times New Roman"/>
                <w:color w:val="auto"/>
                <w:sz w:val="24"/>
                <w:szCs w:val="24"/>
                <w:lang w:val="zh-TW" w:eastAsia="zh-TW"/>
              </w:rPr>
              <w:t>总监理工程师业绩</w:t>
            </w:r>
          </w:p>
        </w:tc>
        <w:tc>
          <w:tcPr>
            <w:tcW w:w="5103" w:type="dxa"/>
          </w:tcPr>
          <w:p w14:paraId="5AAEF861">
            <w:pPr>
              <w:pStyle w:val="46"/>
              <w:shd w:val="clear" w:color="auto" w:fill="auto"/>
              <w:spacing w:before="0" w:line="360" w:lineRule="auto"/>
              <w:ind w:right="-8"/>
              <w:jc w:val="both"/>
              <w:rPr>
                <w:rFonts w:ascii="宋体" w:hAnsi="宋体" w:eastAsia="宋体" w:cs="Times New Roman"/>
                <w:color w:val="auto"/>
                <w:sz w:val="24"/>
                <w:szCs w:val="24"/>
                <w:lang w:val="zh-TW"/>
              </w:rPr>
            </w:pPr>
            <w:r>
              <w:rPr>
                <w:rFonts w:ascii="宋体" w:hAnsi="宋体" w:eastAsia="宋体" w:cs="Times New Roman"/>
                <w:color w:val="auto"/>
                <w:sz w:val="24"/>
                <w:szCs w:val="24"/>
                <w:lang w:val="zh-TW"/>
              </w:rPr>
              <w:t>总监理工程师具有</w:t>
            </w:r>
            <w:r>
              <w:rPr>
                <w:rFonts w:hint="eastAsia" w:ascii="宋体" w:hAnsi="宋体" w:eastAsia="宋体" w:cs="Times New Roman"/>
                <w:color w:val="auto"/>
                <w:sz w:val="24"/>
                <w:szCs w:val="24"/>
                <w:lang w:val="zh-TW"/>
              </w:rPr>
              <w:t>建筑工程</w:t>
            </w:r>
            <w:r>
              <w:rPr>
                <w:rFonts w:hint="eastAsia" w:ascii="宋体" w:hAnsi="宋体" w:eastAsia="宋体" w:cs="Times New Roman"/>
                <w:color w:val="auto"/>
                <w:sz w:val="24"/>
                <w:szCs w:val="24"/>
                <w:lang w:val="en-US"/>
              </w:rPr>
              <w:t>监理</w:t>
            </w:r>
            <w:r>
              <w:rPr>
                <w:rFonts w:ascii="宋体" w:hAnsi="宋体" w:eastAsia="宋体" w:cs="Times New Roman"/>
                <w:color w:val="auto"/>
                <w:sz w:val="24"/>
                <w:szCs w:val="24"/>
                <w:lang w:val="zh-TW"/>
              </w:rPr>
              <w:t>业绩每项得1分，最多得3分。</w:t>
            </w:r>
          </w:p>
        </w:tc>
      </w:tr>
      <w:tr w14:paraId="153481A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35" w:type="dxa"/>
            <w:vMerge w:val="restart"/>
            <w:vAlign w:val="center"/>
          </w:tcPr>
          <w:p w14:paraId="7146B0BB">
            <w:pPr>
              <w:pStyle w:val="46"/>
              <w:shd w:val="clear" w:color="auto" w:fill="auto"/>
              <w:spacing w:before="0" w:line="360" w:lineRule="auto"/>
              <w:ind w:right="-8"/>
              <w:jc w:val="center"/>
              <w:rPr>
                <w:rFonts w:ascii="宋体" w:hAnsi="宋体" w:eastAsia="宋体" w:cs="Times New Roman"/>
                <w:color w:val="auto"/>
                <w:sz w:val="24"/>
                <w:szCs w:val="24"/>
                <w:lang w:val="zh-TW" w:eastAsia="zh-TW"/>
              </w:rPr>
            </w:pPr>
            <w:r>
              <w:rPr>
                <w:rFonts w:ascii="宋体" w:hAnsi="宋体" w:eastAsia="宋体" w:cs="Times New Roman"/>
                <w:color w:val="auto"/>
                <w:sz w:val="24"/>
                <w:szCs w:val="24"/>
                <w:lang w:val="zh-TW" w:eastAsia="zh-TW"/>
              </w:rPr>
              <w:t>2</w:t>
            </w:r>
          </w:p>
        </w:tc>
        <w:tc>
          <w:tcPr>
            <w:tcW w:w="991" w:type="dxa"/>
            <w:vMerge w:val="restart"/>
            <w:vAlign w:val="center"/>
          </w:tcPr>
          <w:p w14:paraId="3FF6EDAB">
            <w:pPr>
              <w:pStyle w:val="46"/>
              <w:shd w:val="clear" w:color="auto" w:fill="auto"/>
              <w:spacing w:before="0" w:line="240" w:lineRule="auto"/>
              <w:jc w:val="left"/>
              <w:rPr>
                <w:rFonts w:ascii="宋体" w:hAnsi="宋体" w:eastAsia="宋体" w:cs="Times New Roman"/>
                <w:color w:val="auto"/>
                <w:sz w:val="24"/>
                <w:szCs w:val="24"/>
                <w:lang w:val="zh-TW"/>
              </w:rPr>
            </w:pPr>
            <w:r>
              <w:rPr>
                <w:rFonts w:ascii="宋体" w:hAnsi="宋体" w:eastAsia="宋体" w:cs="Times New Roman"/>
                <w:color w:val="auto"/>
                <w:sz w:val="24"/>
                <w:szCs w:val="24"/>
                <w:lang w:val="zh-TW"/>
              </w:rPr>
              <w:t>监理大纲评分</w:t>
            </w:r>
          </w:p>
          <w:p w14:paraId="7F089D26">
            <w:pPr>
              <w:pStyle w:val="46"/>
              <w:shd w:val="clear" w:color="auto" w:fill="auto"/>
              <w:spacing w:before="0" w:line="240" w:lineRule="auto"/>
              <w:jc w:val="left"/>
              <w:rPr>
                <w:rFonts w:ascii="宋体" w:hAnsi="宋体" w:eastAsia="宋体" w:cs="Times New Roman"/>
                <w:color w:val="auto"/>
                <w:sz w:val="24"/>
                <w:szCs w:val="24"/>
                <w:lang w:val="zh-TW"/>
              </w:rPr>
            </w:pPr>
            <w:r>
              <w:rPr>
                <w:rFonts w:ascii="宋体" w:hAnsi="宋体" w:eastAsia="宋体" w:cs="Times New Roman"/>
                <w:color w:val="auto"/>
                <w:sz w:val="24"/>
                <w:szCs w:val="24"/>
                <w:lang w:val="zh-TW"/>
              </w:rPr>
              <w:t>标准</w:t>
            </w:r>
          </w:p>
          <w:p w14:paraId="0881A774">
            <w:pPr>
              <w:pStyle w:val="46"/>
              <w:shd w:val="clear" w:color="auto" w:fill="auto"/>
              <w:spacing w:before="0" w:line="360" w:lineRule="auto"/>
              <w:ind w:left="-108" w:leftChars="-45" w:right="-108"/>
              <w:jc w:val="left"/>
              <w:rPr>
                <w:rFonts w:ascii="宋体" w:hAnsi="宋体" w:eastAsia="宋体" w:cs="Times New Roman"/>
                <w:color w:val="auto"/>
                <w:sz w:val="24"/>
                <w:szCs w:val="24"/>
                <w:lang w:val="zh-TW"/>
              </w:rPr>
            </w:pPr>
            <w:r>
              <w:rPr>
                <w:rFonts w:ascii="宋体" w:hAnsi="宋体" w:eastAsia="宋体" w:cs="Times New Roman"/>
                <w:color w:val="auto"/>
                <w:sz w:val="24"/>
                <w:szCs w:val="24"/>
                <w:lang w:val="zh-TW"/>
              </w:rPr>
              <w:t>（2</w:t>
            </w:r>
            <w:r>
              <w:rPr>
                <w:rFonts w:hint="eastAsia" w:ascii="宋体" w:hAnsi="宋体" w:eastAsia="宋体" w:cs="Times New Roman"/>
                <w:color w:val="auto"/>
                <w:sz w:val="24"/>
                <w:szCs w:val="24"/>
                <w:lang w:val="en-US"/>
              </w:rPr>
              <w:t>2</w:t>
            </w:r>
            <w:r>
              <w:rPr>
                <w:rFonts w:ascii="宋体" w:hAnsi="宋体" w:eastAsia="宋体" w:cs="Times New Roman"/>
                <w:color w:val="auto"/>
                <w:sz w:val="24"/>
                <w:szCs w:val="24"/>
                <w:lang w:val="zh-TW"/>
              </w:rPr>
              <w:t>分）</w:t>
            </w:r>
          </w:p>
        </w:tc>
        <w:tc>
          <w:tcPr>
            <w:tcW w:w="2835" w:type="dxa"/>
            <w:vAlign w:val="center"/>
          </w:tcPr>
          <w:p w14:paraId="7101CF4D">
            <w:pPr>
              <w:pStyle w:val="46"/>
              <w:shd w:val="clear" w:color="auto" w:fill="auto"/>
              <w:spacing w:before="0" w:line="360" w:lineRule="auto"/>
              <w:ind w:right="-8"/>
              <w:jc w:val="both"/>
              <w:rPr>
                <w:rFonts w:ascii="宋体" w:hAnsi="宋体" w:eastAsia="宋体" w:cs="Times New Roman"/>
                <w:color w:val="auto"/>
                <w:sz w:val="24"/>
                <w:szCs w:val="24"/>
                <w:lang w:val="zh-TW"/>
              </w:rPr>
            </w:pPr>
            <w:r>
              <w:rPr>
                <w:rFonts w:ascii="宋体" w:hAnsi="宋体" w:eastAsia="宋体" w:cs="Times New Roman"/>
                <w:color w:val="auto"/>
                <w:sz w:val="24"/>
                <w:szCs w:val="24"/>
                <w:lang w:val="zh-TW"/>
              </w:rPr>
              <w:t>监理机构设置和岗位职责</w:t>
            </w:r>
          </w:p>
        </w:tc>
        <w:tc>
          <w:tcPr>
            <w:tcW w:w="5103" w:type="dxa"/>
            <w:vAlign w:val="center"/>
          </w:tcPr>
          <w:p w14:paraId="6D7AA5B8">
            <w:pPr>
              <w:spacing w:line="360" w:lineRule="exact"/>
              <w:jc w:val="both"/>
              <w:rPr>
                <w:rFonts w:ascii="宋体" w:hAnsi="宋体" w:cs="Times New Roman"/>
                <w:color w:val="auto"/>
                <w:lang w:val="zh-TW"/>
              </w:rPr>
            </w:pPr>
            <w:r>
              <w:rPr>
                <w:rFonts w:ascii="宋体" w:hAnsi="宋体" w:cs="Times New Roman"/>
                <w:color w:val="auto"/>
                <w:lang w:val="zh-TW"/>
              </w:rPr>
              <w:t>人员配备岗位人数符合要求、专业齐全、技术力量强  0-3分</w:t>
            </w:r>
          </w:p>
        </w:tc>
      </w:tr>
      <w:tr w14:paraId="55F37E7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35" w:type="dxa"/>
            <w:vMerge w:val="continue"/>
            <w:vAlign w:val="center"/>
          </w:tcPr>
          <w:p w14:paraId="1A5E963F">
            <w:pPr>
              <w:pStyle w:val="46"/>
              <w:shd w:val="clear" w:color="auto" w:fill="auto"/>
              <w:spacing w:before="0" w:line="360" w:lineRule="auto"/>
              <w:ind w:right="-8"/>
              <w:jc w:val="center"/>
              <w:rPr>
                <w:rFonts w:ascii="宋体" w:hAnsi="宋体" w:eastAsia="宋体" w:cs="Times New Roman"/>
                <w:color w:val="auto"/>
                <w:sz w:val="24"/>
                <w:szCs w:val="24"/>
                <w:lang w:val="zh-TW"/>
              </w:rPr>
            </w:pPr>
          </w:p>
        </w:tc>
        <w:tc>
          <w:tcPr>
            <w:tcW w:w="991" w:type="dxa"/>
            <w:vMerge w:val="continue"/>
            <w:vAlign w:val="center"/>
          </w:tcPr>
          <w:p w14:paraId="39B6B9AA">
            <w:pPr>
              <w:pStyle w:val="46"/>
              <w:shd w:val="clear" w:color="auto" w:fill="auto"/>
              <w:spacing w:before="0" w:line="240" w:lineRule="auto"/>
              <w:ind w:left="159"/>
              <w:jc w:val="left"/>
              <w:rPr>
                <w:rFonts w:ascii="宋体" w:hAnsi="宋体" w:eastAsia="宋体" w:cs="Times New Roman"/>
                <w:color w:val="auto"/>
                <w:sz w:val="24"/>
                <w:szCs w:val="24"/>
                <w:lang w:val="zh-TW"/>
              </w:rPr>
            </w:pPr>
          </w:p>
        </w:tc>
        <w:tc>
          <w:tcPr>
            <w:tcW w:w="2835" w:type="dxa"/>
            <w:vAlign w:val="center"/>
          </w:tcPr>
          <w:p w14:paraId="31FD933D">
            <w:pPr>
              <w:pStyle w:val="46"/>
              <w:shd w:val="clear" w:color="auto" w:fill="auto"/>
              <w:spacing w:before="0" w:line="360" w:lineRule="auto"/>
              <w:ind w:right="-8"/>
              <w:jc w:val="both"/>
              <w:rPr>
                <w:rFonts w:ascii="宋体" w:hAnsi="宋体" w:eastAsia="宋体" w:cs="Times New Roman"/>
                <w:color w:val="auto"/>
                <w:sz w:val="24"/>
                <w:szCs w:val="24"/>
                <w:lang w:val="zh-TW" w:eastAsia="zh-TW"/>
              </w:rPr>
            </w:pPr>
            <w:r>
              <w:rPr>
                <w:rFonts w:ascii="宋体" w:hAnsi="宋体" w:eastAsia="宋体" w:cs="Times New Roman"/>
                <w:color w:val="auto"/>
                <w:sz w:val="24"/>
                <w:szCs w:val="24"/>
                <w:lang w:val="zh-TW" w:eastAsia="zh-TW"/>
              </w:rPr>
              <w:t>监理范围、监理内容</w:t>
            </w:r>
          </w:p>
        </w:tc>
        <w:tc>
          <w:tcPr>
            <w:tcW w:w="5103" w:type="dxa"/>
            <w:vAlign w:val="center"/>
          </w:tcPr>
          <w:p w14:paraId="680654E3">
            <w:pPr>
              <w:spacing w:line="360" w:lineRule="exact"/>
              <w:jc w:val="both"/>
              <w:rPr>
                <w:rFonts w:ascii="宋体" w:hAnsi="宋体" w:cs="Times New Roman"/>
                <w:color w:val="auto"/>
                <w:lang w:val="zh-TW"/>
              </w:rPr>
            </w:pPr>
            <w:r>
              <w:rPr>
                <w:rFonts w:ascii="宋体" w:hAnsi="宋体" w:cs="Times New Roman"/>
                <w:color w:val="auto"/>
                <w:lang w:val="zh-TW"/>
              </w:rPr>
              <w:t>监理范围、难点分析及监理对策  0-1分</w:t>
            </w:r>
          </w:p>
        </w:tc>
      </w:tr>
      <w:tr w14:paraId="0F5BEDE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35" w:type="dxa"/>
            <w:vMerge w:val="continue"/>
            <w:vAlign w:val="center"/>
          </w:tcPr>
          <w:p w14:paraId="7947EB61">
            <w:pPr>
              <w:pStyle w:val="46"/>
              <w:shd w:val="clear" w:color="auto" w:fill="auto"/>
              <w:spacing w:before="0" w:line="360" w:lineRule="auto"/>
              <w:ind w:right="-8"/>
              <w:jc w:val="center"/>
              <w:rPr>
                <w:rFonts w:ascii="宋体" w:hAnsi="宋体" w:eastAsia="宋体" w:cs="Times New Roman"/>
                <w:color w:val="auto"/>
                <w:sz w:val="24"/>
                <w:szCs w:val="24"/>
                <w:lang w:val="zh-TW"/>
              </w:rPr>
            </w:pPr>
          </w:p>
        </w:tc>
        <w:tc>
          <w:tcPr>
            <w:tcW w:w="991" w:type="dxa"/>
            <w:vMerge w:val="continue"/>
            <w:vAlign w:val="center"/>
          </w:tcPr>
          <w:p w14:paraId="571DD901">
            <w:pPr>
              <w:pStyle w:val="46"/>
              <w:shd w:val="clear" w:color="auto" w:fill="auto"/>
              <w:spacing w:before="0" w:line="240" w:lineRule="auto"/>
              <w:ind w:left="159"/>
              <w:jc w:val="left"/>
              <w:rPr>
                <w:rFonts w:ascii="宋体" w:hAnsi="宋体" w:eastAsia="宋体" w:cs="Times New Roman"/>
                <w:color w:val="auto"/>
                <w:sz w:val="24"/>
                <w:szCs w:val="24"/>
                <w:lang w:val="zh-TW"/>
              </w:rPr>
            </w:pPr>
          </w:p>
        </w:tc>
        <w:tc>
          <w:tcPr>
            <w:tcW w:w="2835" w:type="dxa"/>
            <w:vAlign w:val="center"/>
          </w:tcPr>
          <w:p w14:paraId="2F1AE371">
            <w:pPr>
              <w:pStyle w:val="46"/>
              <w:shd w:val="clear" w:color="auto" w:fill="auto"/>
              <w:spacing w:before="0" w:line="360" w:lineRule="auto"/>
              <w:ind w:right="-8"/>
              <w:jc w:val="both"/>
              <w:rPr>
                <w:rFonts w:ascii="宋体" w:hAnsi="宋体" w:eastAsia="宋体" w:cs="Times New Roman"/>
                <w:color w:val="auto"/>
                <w:sz w:val="24"/>
                <w:szCs w:val="24"/>
                <w:lang w:val="zh-TW"/>
              </w:rPr>
            </w:pPr>
            <w:r>
              <w:rPr>
                <w:rFonts w:ascii="宋体" w:hAnsi="宋体" w:eastAsia="宋体" w:cs="Times New Roman"/>
                <w:color w:val="auto"/>
                <w:sz w:val="24"/>
                <w:szCs w:val="24"/>
                <w:lang w:val="zh-TW"/>
              </w:rPr>
              <w:t>监理依据、监理工作目标</w:t>
            </w:r>
          </w:p>
        </w:tc>
        <w:tc>
          <w:tcPr>
            <w:tcW w:w="5103" w:type="dxa"/>
            <w:vAlign w:val="center"/>
          </w:tcPr>
          <w:p w14:paraId="359424FE">
            <w:pPr>
              <w:spacing w:line="360" w:lineRule="exact"/>
              <w:jc w:val="both"/>
              <w:rPr>
                <w:rFonts w:ascii="宋体" w:hAnsi="宋体" w:cs="Times New Roman"/>
                <w:color w:val="auto"/>
                <w:lang w:val="zh-TW"/>
              </w:rPr>
            </w:pPr>
            <w:r>
              <w:rPr>
                <w:rFonts w:ascii="宋体" w:hAnsi="宋体" w:cs="Times New Roman"/>
                <w:color w:val="auto"/>
                <w:lang w:val="zh-TW"/>
              </w:rPr>
              <w:t>监理依据充分，目标明确可控    0-1分</w:t>
            </w:r>
          </w:p>
        </w:tc>
      </w:tr>
      <w:tr w14:paraId="22910E1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35" w:type="dxa"/>
            <w:vMerge w:val="continue"/>
            <w:vAlign w:val="center"/>
          </w:tcPr>
          <w:p w14:paraId="54C38C24">
            <w:pPr>
              <w:pStyle w:val="46"/>
              <w:shd w:val="clear" w:color="auto" w:fill="auto"/>
              <w:spacing w:before="0" w:line="360" w:lineRule="auto"/>
              <w:ind w:right="-8"/>
              <w:jc w:val="center"/>
              <w:rPr>
                <w:rFonts w:ascii="宋体" w:hAnsi="宋体" w:eastAsia="宋体" w:cs="Times New Roman"/>
                <w:color w:val="auto"/>
                <w:sz w:val="24"/>
                <w:szCs w:val="24"/>
                <w:lang w:val="zh-TW"/>
              </w:rPr>
            </w:pPr>
          </w:p>
        </w:tc>
        <w:tc>
          <w:tcPr>
            <w:tcW w:w="991" w:type="dxa"/>
            <w:vMerge w:val="continue"/>
            <w:vAlign w:val="center"/>
          </w:tcPr>
          <w:p w14:paraId="6CE42242">
            <w:pPr>
              <w:pStyle w:val="46"/>
              <w:shd w:val="clear" w:color="auto" w:fill="auto"/>
              <w:spacing w:before="0" w:line="240" w:lineRule="auto"/>
              <w:ind w:left="159"/>
              <w:jc w:val="left"/>
              <w:rPr>
                <w:rFonts w:ascii="宋体" w:hAnsi="宋体" w:eastAsia="宋体" w:cs="Times New Roman"/>
                <w:color w:val="auto"/>
                <w:sz w:val="24"/>
                <w:szCs w:val="24"/>
                <w:lang w:val="zh-TW"/>
              </w:rPr>
            </w:pPr>
          </w:p>
        </w:tc>
        <w:tc>
          <w:tcPr>
            <w:tcW w:w="2835" w:type="dxa"/>
            <w:vAlign w:val="center"/>
          </w:tcPr>
          <w:p w14:paraId="07032E5F">
            <w:pPr>
              <w:spacing w:line="400" w:lineRule="exact"/>
              <w:jc w:val="both"/>
              <w:rPr>
                <w:rFonts w:ascii="宋体" w:hAnsi="宋体" w:cs="Times New Roman"/>
                <w:color w:val="auto"/>
                <w:lang w:val="zh-TW" w:eastAsia="zh-TW"/>
              </w:rPr>
            </w:pPr>
            <w:r>
              <w:rPr>
                <w:rFonts w:ascii="宋体" w:hAnsi="宋体" w:cs="Times New Roman"/>
                <w:color w:val="auto"/>
                <w:lang w:val="zh-TW" w:eastAsia="zh-TW"/>
              </w:rPr>
              <w:t>施工阶段质量控制</w:t>
            </w:r>
          </w:p>
        </w:tc>
        <w:tc>
          <w:tcPr>
            <w:tcW w:w="5103" w:type="dxa"/>
            <w:vAlign w:val="center"/>
          </w:tcPr>
          <w:p w14:paraId="2016B7AC">
            <w:pPr>
              <w:spacing w:line="360" w:lineRule="exact"/>
              <w:jc w:val="both"/>
              <w:rPr>
                <w:rFonts w:ascii="宋体" w:hAnsi="宋体" w:cs="Times New Roman"/>
                <w:color w:val="auto"/>
                <w:lang w:val="zh-TW"/>
              </w:rPr>
            </w:pPr>
            <w:r>
              <w:rPr>
                <w:rFonts w:ascii="宋体" w:hAnsi="宋体" w:cs="Times New Roman"/>
                <w:color w:val="auto"/>
                <w:lang w:val="zh-TW"/>
              </w:rPr>
              <w:t>控制措施得当，工作方法操作性强0-</w:t>
            </w:r>
            <w:r>
              <w:rPr>
                <w:rFonts w:hint="eastAsia" w:ascii="宋体" w:hAnsi="宋体" w:cs="Times New Roman"/>
                <w:color w:val="auto"/>
                <w:lang w:val="en-US"/>
              </w:rPr>
              <w:t>3</w:t>
            </w:r>
            <w:r>
              <w:rPr>
                <w:rFonts w:ascii="宋体" w:hAnsi="宋体" w:cs="Times New Roman"/>
                <w:color w:val="auto"/>
                <w:lang w:val="zh-TW"/>
              </w:rPr>
              <w:t>分</w:t>
            </w:r>
          </w:p>
        </w:tc>
      </w:tr>
      <w:tr w14:paraId="0478F26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35" w:type="dxa"/>
            <w:vMerge w:val="continue"/>
            <w:vAlign w:val="center"/>
          </w:tcPr>
          <w:p w14:paraId="31D547B7">
            <w:pPr>
              <w:pStyle w:val="46"/>
              <w:shd w:val="clear" w:color="auto" w:fill="auto"/>
              <w:spacing w:before="0" w:line="360" w:lineRule="auto"/>
              <w:ind w:right="-8"/>
              <w:jc w:val="center"/>
              <w:rPr>
                <w:rFonts w:ascii="宋体" w:hAnsi="宋体" w:eastAsia="宋体" w:cs="Times New Roman"/>
                <w:color w:val="auto"/>
                <w:sz w:val="24"/>
                <w:szCs w:val="24"/>
                <w:lang w:val="zh-TW"/>
              </w:rPr>
            </w:pPr>
          </w:p>
        </w:tc>
        <w:tc>
          <w:tcPr>
            <w:tcW w:w="991" w:type="dxa"/>
            <w:vMerge w:val="continue"/>
            <w:vAlign w:val="center"/>
          </w:tcPr>
          <w:p w14:paraId="5E2D1165">
            <w:pPr>
              <w:pStyle w:val="46"/>
              <w:shd w:val="clear" w:color="auto" w:fill="auto"/>
              <w:spacing w:before="0" w:line="240" w:lineRule="auto"/>
              <w:ind w:left="159"/>
              <w:jc w:val="left"/>
              <w:rPr>
                <w:rFonts w:ascii="宋体" w:hAnsi="宋体" w:eastAsia="宋体" w:cs="Times New Roman"/>
                <w:color w:val="auto"/>
                <w:sz w:val="24"/>
                <w:szCs w:val="24"/>
                <w:lang w:val="zh-TW"/>
              </w:rPr>
            </w:pPr>
          </w:p>
        </w:tc>
        <w:tc>
          <w:tcPr>
            <w:tcW w:w="2835" w:type="dxa"/>
            <w:vAlign w:val="center"/>
          </w:tcPr>
          <w:p w14:paraId="02012856">
            <w:pPr>
              <w:spacing w:line="400" w:lineRule="exact"/>
              <w:jc w:val="both"/>
              <w:rPr>
                <w:rFonts w:ascii="宋体" w:hAnsi="宋体" w:cs="Times New Roman"/>
                <w:color w:val="auto"/>
                <w:lang w:val="zh-TW" w:eastAsia="zh-TW"/>
              </w:rPr>
            </w:pPr>
            <w:r>
              <w:rPr>
                <w:rFonts w:ascii="宋体" w:hAnsi="宋体" w:cs="Times New Roman"/>
                <w:color w:val="auto"/>
                <w:lang w:val="zh-TW" w:eastAsia="zh-TW"/>
              </w:rPr>
              <w:t>施工阶段进度控制</w:t>
            </w:r>
          </w:p>
        </w:tc>
        <w:tc>
          <w:tcPr>
            <w:tcW w:w="5103" w:type="dxa"/>
            <w:vAlign w:val="center"/>
          </w:tcPr>
          <w:p w14:paraId="01751A27">
            <w:pPr>
              <w:jc w:val="both"/>
              <w:rPr>
                <w:rFonts w:ascii="宋体" w:hAnsi="宋体" w:cs="Times New Roman"/>
                <w:color w:val="auto"/>
                <w:lang w:val="zh-TW"/>
              </w:rPr>
            </w:pPr>
            <w:r>
              <w:rPr>
                <w:rFonts w:ascii="宋体" w:hAnsi="宋体" w:cs="Times New Roman"/>
                <w:color w:val="auto"/>
                <w:lang w:val="zh-TW"/>
              </w:rPr>
              <w:t>控制措施得当，工作方法操作性强0-2分</w:t>
            </w:r>
          </w:p>
        </w:tc>
      </w:tr>
      <w:tr w14:paraId="46DB3FF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35" w:type="dxa"/>
            <w:vMerge w:val="continue"/>
            <w:vAlign w:val="center"/>
          </w:tcPr>
          <w:p w14:paraId="2EF85F03">
            <w:pPr>
              <w:pStyle w:val="46"/>
              <w:shd w:val="clear" w:color="auto" w:fill="auto"/>
              <w:spacing w:before="0" w:line="360" w:lineRule="auto"/>
              <w:ind w:right="-8"/>
              <w:jc w:val="center"/>
              <w:rPr>
                <w:rFonts w:ascii="宋体" w:hAnsi="宋体" w:eastAsia="宋体" w:cs="Times New Roman"/>
                <w:color w:val="auto"/>
                <w:sz w:val="24"/>
                <w:szCs w:val="24"/>
                <w:lang w:val="zh-TW"/>
              </w:rPr>
            </w:pPr>
          </w:p>
        </w:tc>
        <w:tc>
          <w:tcPr>
            <w:tcW w:w="991" w:type="dxa"/>
            <w:vMerge w:val="continue"/>
            <w:vAlign w:val="center"/>
          </w:tcPr>
          <w:p w14:paraId="0961B7A3">
            <w:pPr>
              <w:pStyle w:val="46"/>
              <w:shd w:val="clear" w:color="auto" w:fill="auto"/>
              <w:spacing w:before="0" w:line="240" w:lineRule="auto"/>
              <w:ind w:left="159"/>
              <w:jc w:val="left"/>
              <w:rPr>
                <w:rFonts w:ascii="宋体" w:hAnsi="宋体" w:eastAsia="宋体" w:cs="Times New Roman"/>
                <w:color w:val="auto"/>
                <w:sz w:val="24"/>
                <w:szCs w:val="24"/>
                <w:lang w:val="zh-TW"/>
              </w:rPr>
            </w:pPr>
          </w:p>
        </w:tc>
        <w:tc>
          <w:tcPr>
            <w:tcW w:w="2835" w:type="dxa"/>
            <w:vAlign w:val="center"/>
          </w:tcPr>
          <w:p w14:paraId="04CEA117">
            <w:pPr>
              <w:spacing w:line="400" w:lineRule="exact"/>
              <w:jc w:val="both"/>
              <w:rPr>
                <w:rFonts w:ascii="宋体" w:hAnsi="宋体" w:cs="Times New Roman"/>
                <w:color w:val="auto"/>
                <w:lang w:val="zh-TW" w:eastAsia="zh-TW"/>
              </w:rPr>
            </w:pPr>
            <w:r>
              <w:rPr>
                <w:rFonts w:ascii="宋体" w:hAnsi="宋体" w:cs="Times New Roman"/>
                <w:color w:val="auto"/>
                <w:lang w:val="zh-TW" w:eastAsia="zh-TW"/>
              </w:rPr>
              <w:t>施工阶段造价控制</w:t>
            </w:r>
          </w:p>
        </w:tc>
        <w:tc>
          <w:tcPr>
            <w:tcW w:w="5103" w:type="dxa"/>
            <w:vAlign w:val="center"/>
          </w:tcPr>
          <w:p w14:paraId="06069DAA">
            <w:pPr>
              <w:jc w:val="both"/>
              <w:rPr>
                <w:rFonts w:ascii="宋体" w:hAnsi="宋体" w:cs="Times New Roman"/>
                <w:color w:val="auto"/>
                <w:lang w:val="zh-TW"/>
              </w:rPr>
            </w:pPr>
            <w:r>
              <w:rPr>
                <w:rFonts w:ascii="宋体" w:hAnsi="宋体" w:cs="Times New Roman"/>
                <w:color w:val="auto"/>
                <w:lang w:val="zh-TW"/>
              </w:rPr>
              <w:t>控制措施得当，工作方法操作性强0-</w:t>
            </w:r>
            <w:r>
              <w:rPr>
                <w:rFonts w:hint="eastAsia" w:ascii="宋体" w:hAnsi="宋体" w:cs="Times New Roman"/>
                <w:color w:val="auto"/>
                <w:lang w:val="en-US"/>
              </w:rPr>
              <w:t>3</w:t>
            </w:r>
            <w:r>
              <w:rPr>
                <w:rFonts w:ascii="宋体" w:hAnsi="宋体" w:cs="Times New Roman"/>
                <w:color w:val="auto"/>
                <w:lang w:val="zh-TW"/>
              </w:rPr>
              <w:t>分</w:t>
            </w:r>
          </w:p>
        </w:tc>
      </w:tr>
      <w:tr w14:paraId="4EDCF42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35" w:type="dxa"/>
            <w:vMerge w:val="continue"/>
            <w:vAlign w:val="center"/>
          </w:tcPr>
          <w:p w14:paraId="64321CA8">
            <w:pPr>
              <w:pStyle w:val="46"/>
              <w:shd w:val="clear" w:color="auto" w:fill="auto"/>
              <w:spacing w:before="0" w:line="360" w:lineRule="auto"/>
              <w:ind w:right="-8"/>
              <w:jc w:val="center"/>
              <w:rPr>
                <w:rFonts w:ascii="宋体" w:hAnsi="宋体" w:eastAsia="宋体" w:cs="Times New Roman"/>
                <w:color w:val="auto"/>
                <w:sz w:val="24"/>
                <w:szCs w:val="24"/>
                <w:lang w:val="zh-TW"/>
              </w:rPr>
            </w:pPr>
          </w:p>
        </w:tc>
        <w:tc>
          <w:tcPr>
            <w:tcW w:w="991" w:type="dxa"/>
            <w:vMerge w:val="continue"/>
            <w:vAlign w:val="center"/>
          </w:tcPr>
          <w:p w14:paraId="718233C4">
            <w:pPr>
              <w:pStyle w:val="46"/>
              <w:shd w:val="clear" w:color="auto" w:fill="auto"/>
              <w:spacing w:before="0" w:line="240" w:lineRule="auto"/>
              <w:ind w:left="159"/>
              <w:jc w:val="left"/>
              <w:rPr>
                <w:rFonts w:ascii="宋体" w:hAnsi="宋体" w:eastAsia="宋体" w:cs="Times New Roman"/>
                <w:color w:val="auto"/>
                <w:sz w:val="24"/>
                <w:szCs w:val="24"/>
                <w:lang w:val="zh-TW"/>
              </w:rPr>
            </w:pPr>
          </w:p>
        </w:tc>
        <w:tc>
          <w:tcPr>
            <w:tcW w:w="2835" w:type="dxa"/>
            <w:vAlign w:val="center"/>
          </w:tcPr>
          <w:p w14:paraId="2B08E522">
            <w:pPr>
              <w:spacing w:line="400" w:lineRule="exact"/>
              <w:jc w:val="both"/>
              <w:rPr>
                <w:rFonts w:ascii="宋体" w:hAnsi="宋体" w:cs="Times New Roman"/>
                <w:color w:val="auto"/>
                <w:lang w:val="zh-TW" w:eastAsia="zh-TW"/>
              </w:rPr>
            </w:pPr>
            <w:r>
              <w:rPr>
                <w:rFonts w:ascii="宋体" w:hAnsi="宋体" w:cs="Times New Roman"/>
                <w:color w:val="auto"/>
                <w:lang w:val="zh-TW" w:eastAsia="zh-TW"/>
              </w:rPr>
              <w:t>合同及信息管理</w:t>
            </w:r>
          </w:p>
        </w:tc>
        <w:tc>
          <w:tcPr>
            <w:tcW w:w="5103" w:type="dxa"/>
            <w:vAlign w:val="center"/>
          </w:tcPr>
          <w:p w14:paraId="0F4B17CE">
            <w:pPr>
              <w:jc w:val="both"/>
              <w:rPr>
                <w:rFonts w:ascii="宋体" w:hAnsi="宋体" w:cs="Times New Roman"/>
                <w:color w:val="auto"/>
                <w:lang w:val="zh-TW"/>
              </w:rPr>
            </w:pPr>
            <w:r>
              <w:rPr>
                <w:rFonts w:ascii="宋体" w:hAnsi="宋体" w:cs="Times New Roman"/>
                <w:color w:val="auto"/>
                <w:lang w:val="zh-TW"/>
              </w:rPr>
              <w:t>控制措施得当，工作方法操作性强0-2分</w:t>
            </w:r>
          </w:p>
        </w:tc>
      </w:tr>
      <w:tr w14:paraId="76E430B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35" w:type="dxa"/>
            <w:vMerge w:val="continue"/>
            <w:vAlign w:val="center"/>
          </w:tcPr>
          <w:p w14:paraId="0D8E7BF8">
            <w:pPr>
              <w:pStyle w:val="46"/>
              <w:shd w:val="clear" w:color="auto" w:fill="auto"/>
              <w:spacing w:before="0" w:line="360" w:lineRule="auto"/>
              <w:ind w:right="-8"/>
              <w:jc w:val="center"/>
              <w:rPr>
                <w:rFonts w:ascii="宋体" w:hAnsi="宋体" w:eastAsia="宋体" w:cs="Times New Roman"/>
                <w:color w:val="auto"/>
                <w:sz w:val="24"/>
                <w:szCs w:val="24"/>
                <w:lang w:val="zh-TW"/>
              </w:rPr>
            </w:pPr>
          </w:p>
        </w:tc>
        <w:tc>
          <w:tcPr>
            <w:tcW w:w="991" w:type="dxa"/>
            <w:vMerge w:val="continue"/>
            <w:vAlign w:val="center"/>
          </w:tcPr>
          <w:p w14:paraId="2E3694BD">
            <w:pPr>
              <w:pStyle w:val="46"/>
              <w:shd w:val="clear" w:color="auto" w:fill="auto"/>
              <w:spacing w:before="0" w:line="240" w:lineRule="auto"/>
              <w:ind w:left="159"/>
              <w:jc w:val="left"/>
              <w:rPr>
                <w:rFonts w:ascii="宋体" w:hAnsi="宋体" w:eastAsia="宋体" w:cs="Times New Roman"/>
                <w:color w:val="auto"/>
                <w:sz w:val="24"/>
                <w:szCs w:val="24"/>
                <w:lang w:val="zh-TW"/>
              </w:rPr>
            </w:pPr>
          </w:p>
        </w:tc>
        <w:tc>
          <w:tcPr>
            <w:tcW w:w="2835" w:type="dxa"/>
            <w:vAlign w:val="center"/>
          </w:tcPr>
          <w:p w14:paraId="7EF4E09C">
            <w:pPr>
              <w:spacing w:line="400" w:lineRule="exact"/>
              <w:jc w:val="both"/>
              <w:rPr>
                <w:rFonts w:ascii="宋体" w:hAnsi="宋体" w:cs="Times New Roman"/>
                <w:color w:val="auto"/>
                <w:lang w:val="zh-TW" w:eastAsia="zh-TW"/>
              </w:rPr>
            </w:pPr>
            <w:r>
              <w:rPr>
                <w:rFonts w:ascii="宋体" w:hAnsi="宋体" w:cs="Times New Roman"/>
                <w:color w:val="auto"/>
                <w:lang w:val="zh-TW" w:eastAsia="zh-TW"/>
              </w:rPr>
              <w:t>组织协调控制</w:t>
            </w:r>
          </w:p>
        </w:tc>
        <w:tc>
          <w:tcPr>
            <w:tcW w:w="5103" w:type="dxa"/>
            <w:vAlign w:val="center"/>
          </w:tcPr>
          <w:p w14:paraId="1359CB98">
            <w:pPr>
              <w:jc w:val="both"/>
              <w:rPr>
                <w:rFonts w:ascii="宋体" w:hAnsi="宋体" w:cs="Times New Roman"/>
                <w:color w:val="auto"/>
                <w:lang w:val="zh-TW"/>
              </w:rPr>
            </w:pPr>
            <w:r>
              <w:rPr>
                <w:rFonts w:ascii="宋体" w:hAnsi="宋体" w:cs="Times New Roman"/>
                <w:color w:val="auto"/>
                <w:lang w:val="zh-TW"/>
              </w:rPr>
              <w:t>控制措施得当，工作方法操作性强0-2分</w:t>
            </w:r>
          </w:p>
        </w:tc>
      </w:tr>
      <w:tr w14:paraId="08A9716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35" w:type="dxa"/>
            <w:vMerge w:val="continue"/>
            <w:vAlign w:val="center"/>
          </w:tcPr>
          <w:p w14:paraId="2B2D42DB">
            <w:pPr>
              <w:pStyle w:val="46"/>
              <w:shd w:val="clear" w:color="auto" w:fill="auto"/>
              <w:spacing w:before="0" w:line="360" w:lineRule="auto"/>
              <w:ind w:right="-8"/>
              <w:jc w:val="center"/>
              <w:rPr>
                <w:rFonts w:ascii="宋体" w:hAnsi="宋体" w:eastAsia="宋体" w:cs="Times New Roman"/>
                <w:color w:val="auto"/>
                <w:sz w:val="24"/>
                <w:szCs w:val="24"/>
                <w:lang w:val="zh-TW"/>
              </w:rPr>
            </w:pPr>
          </w:p>
        </w:tc>
        <w:tc>
          <w:tcPr>
            <w:tcW w:w="991" w:type="dxa"/>
            <w:vMerge w:val="continue"/>
            <w:vAlign w:val="center"/>
          </w:tcPr>
          <w:p w14:paraId="026AA0E8">
            <w:pPr>
              <w:pStyle w:val="46"/>
              <w:shd w:val="clear" w:color="auto" w:fill="auto"/>
              <w:spacing w:before="0" w:line="240" w:lineRule="auto"/>
              <w:ind w:left="159"/>
              <w:jc w:val="left"/>
              <w:rPr>
                <w:rFonts w:ascii="宋体" w:hAnsi="宋体" w:eastAsia="宋体" w:cs="Times New Roman"/>
                <w:color w:val="auto"/>
                <w:sz w:val="24"/>
                <w:szCs w:val="24"/>
                <w:lang w:val="zh-TW"/>
              </w:rPr>
            </w:pPr>
          </w:p>
        </w:tc>
        <w:tc>
          <w:tcPr>
            <w:tcW w:w="2835" w:type="dxa"/>
            <w:vAlign w:val="center"/>
          </w:tcPr>
          <w:p w14:paraId="4FAB937C">
            <w:pPr>
              <w:spacing w:line="400" w:lineRule="exact"/>
              <w:jc w:val="both"/>
              <w:rPr>
                <w:rFonts w:ascii="宋体" w:hAnsi="宋体" w:cs="Times New Roman"/>
                <w:color w:val="auto"/>
                <w:lang w:val="zh-TW" w:eastAsia="zh-TW"/>
              </w:rPr>
            </w:pPr>
            <w:r>
              <w:rPr>
                <w:rFonts w:ascii="宋体" w:hAnsi="宋体" w:cs="Times New Roman"/>
                <w:color w:val="auto"/>
                <w:lang w:val="zh-TW" w:eastAsia="zh-TW"/>
              </w:rPr>
              <w:t>安全生产管理</w:t>
            </w:r>
          </w:p>
        </w:tc>
        <w:tc>
          <w:tcPr>
            <w:tcW w:w="5103" w:type="dxa"/>
            <w:vAlign w:val="center"/>
          </w:tcPr>
          <w:p w14:paraId="0445E687">
            <w:pPr>
              <w:jc w:val="both"/>
              <w:rPr>
                <w:rFonts w:ascii="宋体" w:hAnsi="宋体" w:cs="Times New Roman"/>
                <w:color w:val="auto"/>
                <w:lang w:val="zh-TW"/>
              </w:rPr>
            </w:pPr>
            <w:r>
              <w:rPr>
                <w:rFonts w:ascii="宋体" w:hAnsi="宋体" w:cs="Times New Roman"/>
                <w:color w:val="auto"/>
                <w:lang w:val="zh-TW"/>
              </w:rPr>
              <w:t>控制措施得当，工作方法操作性强0-2分</w:t>
            </w:r>
          </w:p>
        </w:tc>
      </w:tr>
      <w:tr w14:paraId="65FD39F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35" w:type="dxa"/>
            <w:vMerge w:val="continue"/>
            <w:vAlign w:val="center"/>
          </w:tcPr>
          <w:p w14:paraId="67715F20">
            <w:pPr>
              <w:pStyle w:val="46"/>
              <w:shd w:val="clear" w:color="auto" w:fill="auto"/>
              <w:spacing w:before="0" w:line="360" w:lineRule="auto"/>
              <w:ind w:right="-8"/>
              <w:jc w:val="center"/>
              <w:rPr>
                <w:rFonts w:ascii="宋体" w:hAnsi="宋体" w:eastAsia="宋体" w:cs="Times New Roman"/>
                <w:color w:val="auto"/>
                <w:sz w:val="24"/>
                <w:szCs w:val="24"/>
                <w:lang w:val="zh-TW"/>
              </w:rPr>
            </w:pPr>
          </w:p>
        </w:tc>
        <w:tc>
          <w:tcPr>
            <w:tcW w:w="991" w:type="dxa"/>
            <w:vMerge w:val="continue"/>
            <w:vAlign w:val="center"/>
          </w:tcPr>
          <w:p w14:paraId="035B4A7C">
            <w:pPr>
              <w:pStyle w:val="46"/>
              <w:shd w:val="clear" w:color="auto" w:fill="auto"/>
              <w:spacing w:before="0" w:line="240" w:lineRule="auto"/>
              <w:ind w:left="159"/>
              <w:jc w:val="left"/>
              <w:rPr>
                <w:rFonts w:ascii="宋体" w:hAnsi="宋体" w:eastAsia="宋体" w:cs="Times New Roman"/>
                <w:color w:val="auto"/>
                <w:sz w:val="24"/>
                <w:szCs w:val="24"/>
                <w:lang w:val="zh-TW"/>
              </w:rPr>
            </w:pPr>
          </w:p>
        </w:tc>
        <w:tc>
          <w:tcPr>
            <w:tcW w:w="2835" w:type="dxa"/>
            <w:vAlign w:val="center"/>
          </w:tcPr>
          <w:p w14:paraId="60453430">
            <w:pPr>
              <w:spacing w:line="400" w:lineRule="exact"/>
              <w:jc w:val="both"/>
              <w:rPr>
                <w:rFonts w:ascii="宋体" w:hAnsi="宋体" w:cs="Times New Roman"/>
                <w:color w:val="auto"/>
                <w:lang w:val="zh-TW"/>
              </w:rPr>
            </w:pPr>
            <w:r>
              <w:rPr>
                <w:rFonts w:ascii="宋体" w:hAnsi="宋体" w:cs="Times New Roman"/>
                <w:color w:val="auto"/>
                <w:lang w:val="zh-TW"/>
              </w:rPr>
              <w:t>监理组织协调内容及措施</w:t>
            </w:r>
          </w:p>
        </w:tc>
        <w:tc>
          <w:tcPr>
            <w:tcW w:w="5103" w:type="dxa"/>
            <w:vAlign w:val="center"/>
          </w:tcPr>
          <w:p w14:paraId="59EFF7AB">
            <w:pPr>
              <w:spacing w:line="360" w:lineRule="exact"/>
              <w:jc w:val="both"/>
              <w:rPr>
                <w:rFonts w:ascii="宋体" w:hAnsi="宋体" w:cs="Times New Roman"/>
                <w:color w:val="auto"/>
                <w:lang w:val="zh-TW"/>
              </w:rPr>
            </w:pPr>
            <w:r>
              <w:rPr>
                <w:rFonts w:ascii="宋体" w:hAnsi="宋体" w:cs="Times New Roman"/>
                <w:color w:val="auto"/>
                <w:lang w:val="zh-TW"/>
              </w:rPr>
              <w:t>控制措施得当，工作方法操作性强0-2分</w:t>
            </w:r>
          </w:p>
        </w:tc>
      </w:tr>
      <w:tr w14:paraId="23A2277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35" w:type="dxa"/>
            <w:vMerge w:val="continue"/>
            <w:vAlign w:val="center"/>
          </w:tcPr>
          <w:p w14:paraId="3EA62A60">
            <w:pPr>
              <w:pStyle w:val="46"/>
              <w:shd w:val="clear" w:color="auto" w:fill="auto"/>
              <w:spacing w:before="0" w:line="360" w:lineRule="auto"/>
              <w:ind w:right="-8"/>
              <w:jc w:val="center"/>
              <w:rPr>
                <w:rFonts w:ascii="宋体" w:hAnsi="宋体" w:eastAsia="宋体" w:cs="Times New Roman"/>
                <w:color w:val="auto"/>
                <w:sz w:val="24"/>
                <w:szCs w:val="24"/>
                <w:lang w:val="zh-TW"/>
              </w:rPr>
            </w:pPr>
          </w:p>
        </w:tc>
        <w:tc>
          <w:tcPr>
            <w:tcW w:w="991" w:type="dxa"/>
            <w:vMerge w:val="continue"/>
            <w:vAlign w:val="center"/>
          </w:tcPr>
          <w:p w14:paraId="07B476B3">
            <w:pPr>
              <w:pStyle w:val="46"/>
              <w:shd w:val="clear" w:color="auto" w:fill="auto"/>
              <w:spacing w:before="0" w:line="240" w:lineRule="auto"/>
              <w:ind w:left="159"/>
              <w:jc w:val="left"/>
              <w:rPr>
                <w:rFonts w:ascii="宋体" w:hAnsi="宋体" w:eastAsia="宋体" w:cs="Times New Roman"/>
                <w:color w:val="auto"/>
                <w:sz w:val="24"/>
                <w:szCs w:val="24"/>
                <w:lang w:val="zh-TW"/>
              </w:rPr>
            </w:pPr>
          </w:p>
        </w:tc>
        <w:tc>
          <w:tcPr>
            <w:tcW w:w="2835" w:type="dxa"/>
            <w:vAlign w:val="center"/>
          </w:tcPr>
          <w:p w14:paraId="313A71FE">
            <w:pPr>
              <w:pStyle w:val="46"/>
              <w:shd w:val="clear" w:color="auto" w:fill="auto"/>
              <w:spacing w:before="0" w:line="360" w:lineRule="auto"/>
              <w:jc w:val="both"/>
              <w:rPr>
                <w:rFonts w:ascii="宋体" w:hAnsi="宋体" w:eastAsia="宋体" w:cs="Times New Roman"/>
                <w:color w:val="auto"/>
                <w:sz w:val="24"/>
                <w:szCs w:val="24"/>
                <w:lang w:val="zh-TW" w:eastAsia="zh-TW"/>
              </w:rPr>
            </w:pPr>
            <w:r>
              <w:rPr>
                <w:rFonts w:ascii="宋体" w:hAnsi="宋体" w:eastAsia="宋体" w:cs="Times New Roman"/>
                <w:color w:val="auto"/>
                <w:sz w:val="24"/>
                <w:szCs w:val="24"/>
                <w:lang w:val="zh-TW" w:eastAsia="zh-TW"/>
              </w:rPr>
              <w:t>合理化建议</w:t>
            </w:r>
          </w:p>
        </w:tc>
        <w:tc>
          <w:tcPr>
            <w:tcW w:w="5103" w:type="dxa"/>
            <w:vAlign w:val="center"/>
          </w:tcPr>
          <w:p w14:paraId="2A33E342">
            <w:pPr>
              <w:spacing w:line="360" w:lineRule="exact"/>
              <w:jc w:val="both"/>
              <w:rPr>
                <w:rFonts w:ascii="宋体" w:hAnsi="宋体" w:cs="Times New Roman"/>
                <w:color w:val="auto"/>
                <w:lang w:val="zh-TW"/>
              </w:rPr>
            </w:pPr>
            <w:r>
              <w:rPr>
                <w:rFonts w:ascii="宋体" w:hAnsi="宋体" w:cs="Times New Roman"/>
                <w:color w:val="auto"/>
                <w:lang w:val="zh-TW"/>
              </w:rPr>
              <w:t>对项目改进建议合理可操作性强  0-1分</w:t>
            </w:r>
          </w:p>
        </w:tc>
      </w:tr>
      <w:tr w14:paraId="0524C53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410" w:hRule="atLeast"/>
        </w:trPr>
        <w:tc>
          <w:tcPr>
            <w:tcW w:w="535" w:type="dxa"/>
            <w:vAlign w:val="center"/>
          </w:tcPr>
          <w:p w14:paraId="1ED15E9F">
            <w:pPr>
              <w:pStyle w:val="46"/>
              <w:shd w:val="clear" w:color="auto" w:fill="auto"/>
              <w:spacing w:before="0" w:line="360" w:lineRule="auto"/>
              <w:jc w:val="both"/>
              <w:rPr>
                <w:rFonts w:ascii="宋体" w:hAnsi="宋体" w:eastAsia="宋体" w:cs="Times New Roman"/>
                <w:color w:val="auto"/>
                <w:sz w:val="24"/>
                <w:szCs w:val="24"/>
                <w:lang w:val="zh-TW" w:eastAsia="zh-TW"/>
              </w:rPr>
            </w:pPr>
            <w:r>
              <w:rPr>
                <w:rFonts w:ascii="宋体" w:hAnsi="宋体" w:eastAsia="宋体" w:cs="Times New Roman"/>
                <w:color w:val="auto"/>
                <w:sz w:val="24"/>
                <w:szCs w:val="24"/>
                <w:lang w:val="zh-TW" w:eastAsia="zh-TW"/>
              </w:rPr>
              <w:t>3</w:t>
            </w:r>
          </w:p>
        </w:tc>
        <w:tc>
          <w:tcPr>
            <w:tcW w:w="991" w:type="dxa"/>
            <w:vAlign w:val="center"/>
          </w:tcPr>
          <w:p w14:paraId="6127B16F">
            <w:pPr>
              <w:pStyle w:val="46"/>
              <w:shd w:val="clear" w:color="auto" w:fill="auto"/>
              <w:spacing w:before="0" w:line="240" w:lineRule="auto"/>
              <w:jc w:val="left"/>
              <w:rPr>
                <w:rFonts w:ascii="宋体" w:hAnsi="宋体" w:eastAsia="宋体" w:cs="Times New Roman"/>
                <w:color w:val="auto"/>
                <w:sz w:val="24"/>
                <w:szCs w:val="24"/>
                <w:lang w:val="zh-TW"/>
              </w:rPr>
            </w:pPr>
            <w:r>
              <w:rPr>
                <w:rFonts w:ascii="宋体" w:hAnsi="宋体" w:eastAsia="宋体" w:cs="Times New Roman"/>
                <w:color w:val="auto"/>
                <w:sz w:val="24"/>
                <w:szCs w:val="24"/>
                <w:lang w:val="zh-TW"/>
              </w:rPr>
              <w:t>投标报价评分</w:t>
            </w:r>
          </w:p>
          <w:p w14:paraId="4ACEC797">
            <w:pPr>
              <w:pStyle w:val="46"/>
              <w:shd w:val="clear" w:color="auto" w:fill="auto"/>
              <w:spacing w:before="0" w:line="240" w:lineRule="auto"/>
              <w:jc w:val="left"/>
              <w:rPr>
                <w:rFonts w:ascii="宋体" w:hAnsi="宋体" w:eastAsia="宋体" w:cs="Times New Roman"/>
                <w:color w:val="auto"/>
                <w:sz w:val="24"/>
                <w:szCs w:val="24"/>
                <w:lang w:val="zh-TW"/>
              </w:rPr>
            </w:pPr>
            <w:r>
              <w:rPr>
                <w:rFonts w:ascii="宋体" w:hAnsi="宋体" w:eastAsia="宋体" w:cs="Times New Roman"/>
                <w:color w:val="auto"/>
                <w:sz w:val="24"/>
                <w:szCs w:val="24"/>
                <w:lang w:val="zh-TW"/>
              </w:rPr>
              <w:t>标准</w:t>
            </w:r>
          </w:p>
          <w:p w14:paraId="79CBC4A4">
            <w:pPr>
              <w:pStyle w:val="46"/>
              <w:shd w:val="clear" w:color="auto" w:fill="auto"/>
              <w:spacing w:before="0" w:line="240" w:lineRule="auto"/>
              <w:ind w:left="-108" w:leftChars="-45" w:right="-108" w:rightChars="-45"/>
              <w:jc w:val="left"/>
              <w:rPr>
                <w:rFonts w:ascii="宋体" w:hAnsi="宋体" w:eastAsia="宋体" w:cs="Times New Roman"/>
                <w:color w:val="auto"/>
                <w:sz w:val="24"/>
                <w:szCs w:val="24"/>
                <w:lang w:val="zh-TW"/>
              </w:rPr>
            </w:pPr>
            <w:r>
              <w:rPr>
                <w:rFonts w:ascii="宋体" w:hAnsi="宋体" w:eastAsia="宋体" w:cs="Times New Roman"/>
                <w:color w:val="auto"/>
                <w:sz w:val="24"/>
                <w:szCs w:val="24"/>
                <w:lang w:val="zh-TW"/>
              </w:rPr>
              <w:t>（</w:t>
            </w:r>
            <w:r>
              <w:rPr>
                <w:rFonts w:ascii="宋体" w:hAnsi="宋体" w:eastAsia="宋体" w:cs="Times New Roman"/>
                <w:color w:val="auto"/>
                <w:sz w:val="24"/>
                <w:szCs w:val="24"/>
                <w:lang w:val="en-US"/>
              </w:rPr>
              <w:t>7</w:t>
            </w:r>
            <w:r>
              <w:rPr>
                <w:rFonts w:ascii="宋体" w:hAnsi="宋体" w:eastAsia="宋体" w:cs="Times New Roman"/>
                <w:color w:val="auto"/>
                <w:sz w:val="24"/>
                <w:szCs w:val="24"/>
                <w:lang w:val="zh-TW"/>
              </w:rPr>
              <w:t>0分）</w:t>
            </w:r>
          </w:p>
        </w:tc>
        <w:tc>
          <w:tcPr>
            <w:tcW w:w="2835" w:type="dxa"/>
            <w:tcBorders>
              <w:right w:val="single" w:color="auto" w:sz="4" w:space="0"/>
            </w:tcBorders>
            <w:vAlign w:val="center"/>
          </w:tcPr>
          <w:p w14:paraId="1943D126">
            <w:pPr>
              <w:spacing w:line="360" w:lineRule="auto"/>
              <w:jc w:val="center"/>
              <w:rPr>
                <w:rFonts w:ascii="宋体" w:hAnsi="宋体" w:cs="Times New Roman"/>
                <w:color w:val="auto"/>
                <w:lang w:val="zh-TW" w:eastAsia="zh-TW"/>
              </w:rPr>
            </w:pPr>
            <w:r>
              <w:rPr>
                <w:rFonts w:ascii="宋体" w:hAnsi="宋体" w:cs="Times New Roman"/>
                <w:color w:val="auto"/>
              </w:rPr>
              <w:t>评标基准价计算方法</w:t>
            </w:r>
          </w:p>
        </w:tc>
        <w:tc>
          <w:tcPr>
            <w:tcW w:w="5103" w:type="dxa"/>
            <w:tcBorders>
              <w:left w:val="single" w:color="auto" w:sz="4" w:space="0"/>
            </w:tcBorders>
            <w:vAlign w:val="center"/>
          </w:tcPr>
          <w:p w14:paraId="59BB6529">
            <w:pPr>
              <w:pStyle w:val="46"/>
              <w:spacing w:line="360" w:lineRule="auto"/>
              <w:jc w:val="both"/>
              <w:rPr>
                <w:rFonts w:ascii="宋体" w:hAnsi="宋体" w:eastAsia="宋体" w:cs="Times New Roman"/>
                <w:color w:val="auto"/>
                <w:sz w:val="24"/>
                <w:szCs w:val="24"/>
                <w:lang w:val="zh-TW"/>
              </w:rPr>
            </w:pPr>
            <w:r>
              <w:rPr>
                <w:rFonts w:ascii="宋体" w:hAnsi="宋体" w:eastAsia="宋体" w:cs="Times New Roman"/>
                <w:bCs/>
                <w:color w:val="auto"/>
                <w:sz w:val="24"/>
                <w:szCs w:val="24"/>
              </w:rPr>
              <w:t>有效投标人的最低有效报价作为基准价，得分</w:t>
            </w:r>
            <w:r>
              <w:rPr>
                <w:rFonts w:ascii="宋体" w:hAnsi="宋体" w:eastAsia="宋体" w:cs="Times New Roman"/>
                <w:bCs/>
                <w:color w:val="auto"/>
                <w:sz w:val="24"/>
                <w:szCs w:val="24"/>
                <w:lang w:val="en-US"/>
              </w:rPr>
              <w:t>7</w:t>
            </w:r>
            <w:r>
              <w:rPr>
                <w:rFonts w:ascii="宋体" w:hAnsi="宋体" w:eastAsia="宋体" w:cs="Times New Roman"/>
                <w:bCs/>
                <w:color w:val="auto"/>
                <w:sz w:val="24"/>
                <w:szCs w:val="24"/>
              </w:rPr>
              <w:t>0分，</w:t>
            </w:r>
            <w:r>
              <w:rPr>
                <w:rFonts w:ascii="宋体" w:hAnsi="宋体" w:eastAsia="宋体" w:cs="Times New Roman"/>
                <w:color w:val="auto"/>
                <w:sz w:val="24"/>
                <w:szCs w:val="24"/>
              </w:rPr>
              <w:t>其他投标单位报价得分</w:t>
            </w:r>
            <w:r>
              <w:rPr>
                <w:rFonts w:ascii="宋体" w:hAnsi="宋体" w:eastAsia="宋体" w:cs="Times New Roman"/>
                <w:bCs/>
                <w:color w:val="auto"/>
                <w:sz w:val="24"/>
                <w:szCs w:val="24"/>
              </w:rPr>
              <w:t>= （基准价/有效报价）×</w:t>
            </w:r>
            <w:r>
              <w:rPr>
                <w:rFonts w:ascii="宋体" w:hAnsi="宋体" w:eastAsia="宋体" w:cs="Times New Roman"/>
                <w:bCs/>
                <w:color w:val="auto"/>
                <w:sz w:val="24"/>
                <w:szCs w:val="24"/>
                <w:lang w:val="en-US"/>
              </w:rPr>
              <w:t>7</w:t>
            </w:r>
            <w:r>
              <w:rPr>
                <w:rFonts w:ascii="宋体" w:hAnsi="宋体" w:eastAsia="宋体" w:cs="Times New Roman"/>
                <w:bCs/>
                <w:color w:val="auto"/>
                <w:sz w:val="24"/>
                <w:szCs w:val="24"/>
              </w:rPr>
              <w:t>0。</w:t>
            </w:r>
          </w:p>
        </w:tc>
      </w:tr>
    </w:tbl>
    <w:p w14:paraId="6EAF8BDA">
      <w:pPr>
        <w:pStyle w:val="22"/>
        <w:ind w:left="0" w:leftChars="0" w:firstLine="0" w:firstLineChars="0"/>
        <w:jc w:val="center"/>
        <w:rPr>
          <w:rFonts w:ascii="Times New Roman" w:hAnsi="Times New Roman" w:cs="Times New Roman"/>
          <w:b/>
          <w:bCs/>
          <w:sz w:val="30"/>
          <w:szCs w:val="30"/>
          <w:lang w:val="en-US"/>
        </w:rPr>
      </w:pPr>
    </w:p>
    <w:p w14:paraId="5F950A1A">
      <w:pPr>
        <w:widowControl/>
        <w:rPr>
          <w:rFonts w:ascii="Times New Roman" w:hAnsi="Times New Roman" w:cs="Times New Roman"/>
          <w:b/>
          <w:bCs/>
          <w:sz w:val="30"/>
          <w:szCs w:val="30"/>
          <w:lang w:val="en-US"/>
        </w:rPr>
      </w:pPr>
      <w:r>
        <w:rPr>
          <w:rFonts w:ascii="Times New Roman" w:hAnsi="Times New Roman" w:cs="Times New Roman"/>
          <w:b/>
          <w:bCs/>
          <w:sz w:val="30"/>
          <w:szCs w:val="30"/>
          <w:lang w:val="en-US"/>
        </w:rPr>
        <w:br w:type="page"/>
      </w:r>
    </w:p>
    <w:p w14:paraId="73B17477">
      <w:pPr>
        <w:keepNext/>
        <w:keepLines/>
        <w:spacing w:line="360" w:lineRule="auto"/>
        <w:outlineLvl w:val="1"/>
        <w:rPr>
          <w:rFonts w:ascii="Times New Roman" w:hAnsi="Times New Roman" w:cs="Times New Roman"/>
          <w:bCs/>
        </w:rPr>
      </w:pPr>
      <w:bookmarkStart w:id="274" w:name="_Toc487980625"/>
      <w:bookmarkStart w:id="275" w:name="_Toc256000069"/>
      <w:r>
        <w:rPr>
          <w:rFonts w:ascii="Times New Roman" w:hAnsi="Times New Roman" w:cs="Times New Roman"/>
          <w:bCs/>
        </w:rPr>
        <w:t>附件B：废标条件</w:t>
      </w:r>
      <w:bookmarkEnd w:id="274"/>
      <w:bookmarkEnd w:id="275"/>
    </w:p>
    <w:p w14:paraId="79CDDE15">
      <w:pPr>
        <w:spacing w:before="120" w:beforeLines="50" w:after="120" w:afterLines="50" w:line="360" w:lineRule="auto"/>
        <w:jc w:val="center"/>
        <w:rPr>
          <w:rFonts w:ascii="Times New Roman" w:hAnsi="Times New Roman" w:cs="Times New Roman"/>
          <w:sz w:val="28"/>
          <w:szCs w:val="28"/>
        </w:rPr>
      </w:pPr>
      <w:r>
        <w:rPr>
          <w:rFonts w:ascii="Times New Roman" w:hAnsi="Times New Roman" w:cs="Times New Roman"/>
          <w:sz w:val="28"/>
          <w:szCs w:val="28"/>
        </w:rPr>
        <w:t>废 标 条 件</w:t>
      </w:r>
    </w:p>
    <w:p w14:paraId="69CDB859">
      <w:pPr>
        <w:spacing w:line="360" w:lineRule="auto"/>
        <w:ind w:firstLine="480" w:firstLineChars="200"/>
        <w:jc w:val="both"/>
        <w:rPr>
          <w:rFonts w:ascii="Times New Roman" w:hAnsi="Times New Roman" w:cs="Times New Roman"/>
        </w:rPr>
      </w:pPr>
      <w:r>
        <w:rPr>
          <w:rFonts w:ascii="Times New Roman" w:hAnsi="Times New Roman" w:cs="Times New Roman"/>
        </w:rPr>
        <w:t>B0.总则</w:t>
      </w:r>
    </w:p>
    <w:p w14:paraId="14261DC1">
      <w:pPr>
        <w:spacing w:line="360" w:lineRule="auto"/>
        <w:ind w:firstLine="480" w:firstLineChars="200"/>
        <w:jc w:val="both"/>
        <w:rPr>
          <w:rFonts w:ascii="Times New Roman" w:hAnsi="Times New Roman" w:cs="Times New Roman"/>
        </w:rPr>
      </w:pPr>
      <w:r>
        <w:rPr>
          <w:rFonts w:ascii="Times New Roman" w:hAnsi="Times New Roman" w:cs="Times New Roman"/>
        </w:rPr>
        <w:t>本附件所集中列示的废标条件，是本章“评标办法”的组成部分，是对第二章“投标人须知”和本章正文部分所规定的废标条件的总结和补充。</w:t>
      </w:r>
    </w:p>
    <w:p w14:paraId="15502C6A">
      <w:pPr>
        <w:spacing w:line="360" w:lineRule="auto"/>
        <w:ind w:firstLine="480" w:firstLineChars="200"/>
        <w:jc w:val="both"/>
        <w:rPr>
          <w:rFonts w:ascii="Times New Roman" w:hAnsi="Times New Roman" w:cs="Times New Roman"/>
        </w:rPr>
      </w:pPr>
      <w:r>
        <w:rPr>
          <w:rFonts w:ascii="Times New Roman" w:hAnsi="Times New Roman" w:cs="Times New Roman"/>
        </w:rPr>
        <w:t xml:space="preserve">B1.废标条件 </w:t>
      </w:r>
    </w:p>
    <w:p w14:paraId="3FC493EF">
      <w:pPr>
        <w:spacing w:line="360" w:lineRule="auto"/>
        <w:ind w:firstLine="480" w:firstLineChars="200"/>
        <w:jc w:val="both"/>
        <w:rPr>
          <w:rFonts w:ascii="Times New Roman" w:hAnsi="Times New Roman" w:cs="Times New Roman"/>
        </w:rPr>
      </w:pPr>
      <w:r>
        <w:rPr>
          <w:rFonts w:ascii="Times New Roman" w:hAnsi="Times New Roman" w:cs="Times New Roman"/>
        </w:rPr>
        <w:t>投标人或其投标文件有下列情形之一的，其投标作废标处理：</w:t>
      </w:r>
    </w:p>
    <w:p w14:paraId="736BFEDA">
      <w:pPr>
        <w:spacing w:line="360" w:lineRule="auto"/>
        <w:ind w:firstLine="480" w:firstLineChars="200"/>
        <w:jc w:val="both"/>
        <w:rPr>
          <w:rFonts w:ascii="Times New Roman" w:hAnsi="Times New Roman" w:cs="Times New Roman"/>
        </w:rPr>
      </w:pPr>
      <w:r>
        <w:rPr>
          <w:rFonts w:ascii="Times New Roman" w:hAnsi="Times New Roman" w:cs="Times New Roman"/>
        </w:rPr>
        <w:t>B1.1有第二章“投标人须知”规定的任何一种情形的。</w:t>
      </w:r>
    </w:p>
    <w:p w14:paraId="111CF8E5">
      <w:pPr>
        <w:spacing w:line="360" w:lineRule="auto"/>
        <w:ind w:firstLine="480" w:firstLineChars="200"/>
        <w:jc w:val="both"/>
        <w:rPr>
          <w:rFonts w:ascii="Times New Roman" w:hAnsi="Times New Roman" w:cs="Times New Roman"/>
        </w:rPr>
      </w:pPr>
      <w:r>
        <w:rPr>
          <w:rFonts w:ascii="Times New Roman" w:hAnsi="Times New Roman" w:cs="Times New Roman"/>
        </w:rPr>
        <w:t>B1.2有串通投标或弄虚作假或其他违法行为的，详见下款：</w:t>
      </w:r>
    </w:p>
    <w:p w14:paraId="1F851ADF">
      <w:pPr>
        <w:spacing w:line="360" w:lineRule="auto"/>
        <w:ind w:firstLine="480" w:firstLineChars="200"/>
        <w:jc w:val="both"/>
        <w:rPr>
          <w:rFonts w:ascii="Times New Roman" w:hAnsi="Times New Roman" w:cs="Times New Roman"/>
          <w:bCs/>
        </w:rPr>
      </w:pPr>
      <w:r>
        <w:rPr>
          <w:rFonts w:ascii="Times New Roman" w:hAnsi="Times New Roman" w:cs="Times New Roman"/>
          <w:bCs/>
        </w:rPr>
        <w:t>B1.2.1投标人之间协商投标报价等投标文件的实质性内容；</w:t>
      </w:r>
    </w:p>
    <w:p w14:paraId="5064A0E5">
      <w:pPr>
        <w:spacing w:line="360" w:lineRule="auto"/>
        <w:ind w:firstLine="480" w:firstLineChars="200"/>
        <w:jc w:val="both"/>
        <w:rPr>
          <w:rFonts w:ascii="Times New Roman" w:hAnsi="Times New Roman" w:cs="Times New Roman"/>
          <w:bCs/>
        </w:rPr>
      </w:pPr>
      <w:r>
        <w:rPr>
          <w:rFonts w:ascii="Times New Roman" w:hAnsi="Times New Roman" w:cs="Times New Roman"/>
          <w:bCs/>
        </w:rPr>
        <w:t>B1.2.2投标人之间约定中标人；</w:t>
      </w:r>
    </w:p>
    <w:p w14:paraId="3F7D60C3">
      <w:pPr>
        <w:autoSpaceDE w:val="0"/>
        <w:autoSpaceDN w:val="0"/>
        <w:spacing w:line="360" w:lineRule="auto"/>
        <w:ind w:firstLine="480" w:firstLineChars="200"/>
        <w:jc w:val="both"/>
        <w:rPr>
          <w:rFonts w:ascii="Times New Roman" w:hAnsi="Times New Roman" w:cs="Times New Roman"/>
          <w:bCs/>
        </w:rPr>
      </w:pPr>
      <w:r>
        <w:rPr>
          <w:rFonts w:ascii="Times New Roman" w:hAnsi="Times New Roman" w:cs="Times New Roman"/>
          <w:bCs/>
        </w:rPr>
        <w:t>B1.2.3投标人之间约定部分投标人放弃投标或者中标；</w:t>
      </w:r>
    </w:p>
    <w:p w14:paraId="47F5DE13">
      <w:pPr>
        <w:autoSpaceDE w:val="0"/>
        <w:autoSpaceDN w:val="0"/>
        <w:spacing w:line="360" w:lineRule="auto"/>
        <w:ind w:firstLine="480" w:firstLineChars="200"/>
        <w:jc w:val="both"/>
        <w:rPr>
          <w:rFonts w:ascii="Times New Roman" w:hAnsi="Times New Roman" w:cs="Times New Roman"/>
          <w:bCs/>
        </w:rPr>
      </w:pPr>
      <w:r>
        <w:rPr>
          <w:rFonts w:ascii="Times New Roman" w:hAnsi="Times New Roman" w:cs="Times New Roman"/>
          <w:bCs/>
        </w:rPr>
        <w:t>B1.2.4属于同一集团、协会、商会等组织成员的投标人按照该组织要求协同投标；</w:t>
      </w:r>
    </w:p>
    <w:p w14:paraId="3E555273">
      <w:pPr>
        <w:autoSpaceDE w:val="0"/>
        <w:autoSpaceDN w:val="0"/>
        <w:spacing w:line="360" w:lineRule="auto"/>
        <w:ind w:firstLine="480" w:firstLineChars="200"/>
        <w:jc w:val="both"/>
        <w:rPr>
          <w:rFonts w:ascii="Times New Roman" w:hAnsi="Times New Roman" w:cs="Times New Roman"/>
          <w:bCs/>
        </w:rPr>
      </w:pPr>
      <w:r>
        <w:rPr>
          <w:rFonts w:ascii="Times New Roman" w:hAnsi="Times New Roman" w:cs="Times New Roman"/>
          <w:bCs/>
        </w:rPr>
        <w:t>B1.2.5投标人之间为谋取中标或者排斥特定投标人而采取的其他联合行动；</w:t>
      </w:r>
    </w:p>
    <w:p w14:paraId="6A48CD8E">
      <w:pPr>
        <w:autoSpaceDE w:val="0"/>
        <w:autoSpaceDN w:val="0"/>
        <w:spacing w:line="360" w:lineRule="auto"/>
        <w:ind w:firstLine="480" w:firstLineChars="200"/>
        <w:jc w:val="both"/>
        <w:rPr>
          <w:rFonts w:ascii="Times New Roman" w:hAnsi="Times New Roman" w:cs="Times New Roman"/>
          <w:bCs/>
        </w:rPr>
      </w:pPr>
      <w:r>
        <w:rPr>
          <w:rFonts w:ascii="Times New Roman" w:hAnsi="Times New Roman" w:cs="Times New Roman"/>
          <w:bCs/>
        </w:rPr>
        <w:t>B1.2.6不同投标人的投标文件由同一单位或者个人编制；</w:t>
      </w:r>
    </w:p>
    <w:p w14:paraId="0602C13E">
      <w:pPr>
        <w:autoSpaceDE w:val="0"/>
        <w:autoSpaceDN w:val="0"/>
        <w:spacing w:line="360" w:lineRule="auto"/>
        <w:ind w:firstLine="480" w:firstLineChars="200"/>
        <w:jc w:val="both"/>
        <w:rPr>
          <w:rFonts w:ascii="Times New Roman" w:hAnsi="Times New Roman" w:cs="Times New Roman"/>
          <w:bCs/>
        </w:rPr>
      </w:pPr>
      <w:r>
        <w:rPr>
          <w:rFonts w:ascii="Times New Roman" w:hAnsi="Times New Roman" w:cs="Times New Roman"/>
          <w:bCs/>
        </w:rPr>
        <w:t>B1.2.7不同投标人委托同一单位或者个人办理投标事宜；</w:t>
      </w:r>
    </w:p>
    <w:p w14:paraId="32BC1648">
      <w:pPr>
        <w:autoSpaceDE w:val="0"/>
        <w:autoSpaceDN w:val="0"/>
        <w:spacing w:line="360" w:lineRule="auto"/>
        <w:ind w:firstLine="480" w:firstLineChars="200"/>
        <w:jc w:val="both"/>
        <w:rPr>
          <w:rFonts w:ascii="Times New Roman" w:hAnsi="Times New Roman" w:cs="Times New Roman"/>
          <w:bCs/>
        </w:rPr>
      </w:pPr>
      <w:r>
        <w:rPr>
          <w:rFonts w:ascii="Times New Roman" w:hAnsi="Times New Roman" w:cs="Times New Roman"/>
          <w:bCs/>
        </w:rPr>
        <w:t>B1.2.8不同投标人的投标文件异常一致或者投标报价呈规律性差异；</w:t>
      </w:r>
    </w:p>
    <w:p w14:paraId="74AF88D1">
      <w:pPr>
        <w:autoSpaceDE w:val="0"/>
        <w:autoSpaceDN w:val="0"/>
        <w:spacing w:line="360" w:lineRule="auto"/>
        <w:ind w:firstLine="480" w:firstLineChars="200"/>
        <w:jc w:val="both"/>
        <w:rPr>
          <w:rFonts w:ascii="Times New Roman" w:hAnsi="Times New Roman" w:cs="Times New Roman"/>
          <w:bCs/>
        </w:rPr>
      </w:pPr>
      <w:r>
        <w:rPr>
          <w:rFonts w:ascii="Times New Roman" w:hAnsi="Times New Roman" w:cs="Times New Roman"/>
          <w:bCs/>
        </w:rPr>
        <w:t>B1.2.9不同投标人的投标文件错漏之处一致的；</w:t>
      </w:r>
    </w:p>
    <w:p w14:paraId="0D20B0C4">
      <w:pPr>
        <w:autoSpaceDE w:val="0"/>
        <w:autoSpaceDN w:val="0"/>
        <w:spacing w:line="360" w:lineRule="auto"/>
        <w:ind w:firstLine="480" w:firstLineChars="200"/>
        <w:jc w:val="both"/>
        <w:rPr>
          <w:rFonts w:ascii="Times New Roman" w:hAnsi="Times New Roman" w:cs="Times New Roman"/>
          <w:bCs/>
        </w:rPr>
      </w:pPr>
      <w:r>
        <w:rPr>
          <w:rFonts w:ascii="Times New Roman" w:hAnsi="Times New Roman" w:cs="Times New Roman"/>
          <w:bCs/>
        </w:rPr>
        <w:t>B1.2.10不同投标人的投标文件相互混装；</w:t>
      </w:r>
    </w:p>
    <w:p w14:paraId="3A2A05FA">
      <w:pPr>
        <w:autoSpaceDE w:val="0"/>
        <w:autoSpaceDN w:val="0"/>
        <w:spacing w:line="360" w:lineRule="auto"/>
        <w:ind w:firstLine="480" w:firstLineChars="200"/>
        <w:jc w:val="both"/>
        <w:rPr>
          <w:rFonts w:ascii="Times New Roman" w:hAnsi="Times New Roman" w:cs="Times New Roman"/>
          <w:bCs/>
        </w:rPr>
      </w:pPr>
      <w:r>
        <w:rPr>
          <w:rFonts w:ascii="Times New Roman" w:hAnsi="Times New Roman" w:cs="Times New Roman"/>
          <w:bCs/>
        </w:rPr>
        <w:t>B1.2.11不同投标人的投标文件由同一台电脑编制或者同一台附属设备打印；</w:t>
      </w:r>
    </w:p>
    <w:p w14:paraId="79341930">
      <w:pPr>
        <w:autoSpaceDE w:val="0"/>
        <w:autoSpaceDN w:val="0"/>
        <w:spacing w:line="360" w:lineRule="auto"/>
        <w:ind w:firstLine="480" w:firstLineChars="200"/>
        <w:jc w:val="both"/>
        <w:rPr>
          <w:rFonts w:ascii="Times New Roman" w:hAnsi="Times New Roman" w:cs="Times New Roman"/>
          <w:bCs/>
        </w:rPr>
      </w:pPr>
      <w:r>
        <w:rPr>
          <w:rFonts w:ascii="Times New Roman" w:hAnsi="Times New Roman" w:cs="Times New Roman"/>
          <w:bCs/>
        </w:rPr>
        <w:t>B1.2.12不同投标人的投标保证金从同一单位或者个人的账户转出；</w:t>
      </w:r>
    </w:p>
    <w:p w14:paraId="5EB750AE">
      <w:pPr>
        <w:autoSpaceDE w:val="0"/>
        <w:autoSpaceDN w:val="0"/>
        <w:spacing w:line="360" w:lineRule="auto"/>
        <w:ind w:firstLine="480" w:firstLineChars="200"/>
        <w:jc w:val="both"/>
        <w:rPr>
          <w:rFonts w:ascii="Times New Roman" w:hAnsi="Times New Roman" w:cs="Times New Roman"/>
          <w:bCs/>
        </w:rPr>
      </w:pPr>
      <w:r>
        <w:rPr>
          <w:rFonts w:ascii="Times New Roman" w:hAnsi="Times New Roman" w:cs="Times New Roman"/>
          <w:bCs/>
        </w:rPr>
        <w:t>B1.2.13不同投标人使用同一个人或者企业资金交纳投标保证金或者投标保函的反担保的；</w:t>
      </w:r>
    </w:p>
    <w:p w14:paraId="399F01FF">
      <w:pPr>
        <w:autoSpaceDE w:val="0"/>
        <w:autoSpaceDN w:val="0"/>
        <w:spacing w:line="360" w:lineRule="auto"/>
        <w:ind w:firstLine="480" w:firstLineChars="200"/>
        <w:jc w:val="both"/>
        <w:rPr>
          <w:rFonts w:ascii="Times New Roman" w:hAnsi="Times New Roman" w:cs="Times New Roman"/>
          <w:bCs/>
        </w:rPr>
      </w:pPr>
      <w:r>
        <w:rPr>
          <w:rFonts w:ascii="Times New Roman" w:hAnsi="Times New Roman" w:cs="Times New Roman"/>
          <w:bCs/>
        </w:rPr>
        <w:t>B1.2.14使用伪造、变造的许可证件；</w:t>
      </w:r>
    </w:p>
    <w:p w14:paraId="241C64DC">
      <w:pPr>
        <w:autoSpaceDE w:val="0"/>
        <w:autoSpaceDN w:val="0"/>
        <w:spacing w:line="360" w:lineRule="auto"/>
        <w:ind w:firstLine="480" w:firstLineChars="200"/>
        <w:jc w:val="both"/>
        <w:rPr>
          <w:rFonts w:ascii="Times New Roman" w:hAnsi="Times New Roman" w:cs="Times New Roman"/>
          <w:bCs/>
        </w:rPr>
      </w:pPr>
      <w:r>
        <w:rPr>
          <w:rFonts w:ascii="Times New Roman" w:hAnsi="Times New Roman" w:cs="Times New Roman"/>
          <w:bCs/>
        </w:rPr>
        <w:t>B1.2.15提供虚假的财务状况或者业绩；</w:t>
      </w:r>
    </w:p>
    <w:p w14:paraId="705621DD">
      <w:pPr>
        <w:autoSpaceDE w:val="0"/>
        <w:autoSpaceDN w:val="0"/>
        <w:spacing w:line="360" w:lineRule="auto"/>
        <w:ind w:firstLine="480" w:firstLineChars="200"/>
        <w:jc w:val="both"/>
        <w:rPr>
          <w:rFonts w:ascii="Times New Roman" w:hAnsi="Times New Roman" w:cs="Times New Roman"/>
          <w:bCs/>
        </w:rPr>
      </w:pPr>
      <w:r>
        <w:rPr>
          <w:rFonts w:ascii="Times New Roman" w:hAnsi="Times New Roman" w:cs="Times New Roman"/>
          <w:bCs/>
        </w:rPr>
        <w:t>B1.2.16提供虚假的信用状况；</w:t>
      </w:r>
    </w:p>
    <w:p w14:paraId="335E023D">
      <w:pPr>
        <w:autoSpaceDE w:val="0"/>
        <w:autoSpaceDN w:val="0"/>
        <w:spacing w:line="360" w:lineRule="auto"/>
        <w:ind w:firstLine="480" w:firstLineChars="200"/>
        <w:jc w:val="both"/>
        <w:rPr>
          <w:rFonts w:ascii="Times New Roman" w:hAnsi="Times New Roman" w:cs="Times New Roman"/>
          <w:bCs/>
        </w:rPr>
      </w:pPr>
      <w:r>
        <w:rPr>
          <w:rFonts w:ascii="Times New Roman" w:hAnsi="Times New Roman" w:cs="Times New Roman"/>
          <w:bCs/>
        </w:rPr>
        <w:t>B1.2.17其他弄虚作假的行为；</w:t>
      </w:r>
    </w:p>
    <w:p w14:paraId="3888A7D1">
      <w:pPr>
        <w:autoSpaceDE w:val="0"/>
        <w:autoSpaceDN w:val="0"/>
        <w:spacing w:line="360" w:lineRule="auto"/>
        <w:ind w:firstLine="480" w:firstLineChars="200"/>
        <w:jc w:val="both"/>
        <w:rPr>
          <w:rFonts w:ascii="Times New Roman" w:hAnsi="Times New Roman" w:cs="Times New Roman"/>
          <w:bCs/>
        </w:rPr>
      </w:pPr>
      <w:r>
        <w:rPr>
          <w:rFonts w:ascii="Times New Roman" w:hAnsi="Times New Roman" w:cs="Times New Roman"/>
          <w:bCs/>
        </w:rPr>
        <w:t>B1.2.18</w:t>
      </w:r>
      <w:r>
        <w:rPr>
          <w:rFonts w:hint="eastAsia" w:ascii="Times New Roman" w:hAnsi="Times New Roman" w:cs="Times New Roman"/>
          <w:bCs/>
          <w:lang w:eastAsia="zh-CN"/>
        </w:rPr>
        <w:t>谈判</w:t>
      </w:r>
      <w:r>
        <w:rPr>
          <w:rFonts w:ascii="Times New Roman" w:hAnsi="Times New Roman" w:cs="Times New Roman"/>
          <w:bCs/>
        </w:rPr>
        <w:t>人在开标前开启投标文件并将有关信息泄露给其他投标人；</w:t>
      </w:r>
    </w:p>
    <w:p w14:paraId="6D9AC59B">
      <w:pPr>
        <w:autoSpaceDE w:val="0"/>
        <w:autoSpaceDN w:val="0"/>
        <w:spacing w:line="360" w:lineRule="auto"/>
        <w:ind w:firstLine="480" w:firstLineChars="200"/>
        <w:jc w:val="both"/>
        <w:rPr>
          <w:rFonts w:ascii="Times New Roman" w:hAnsi="Times New Roman" w:cs="Times New Roman"/>
          <w:bCs/>
        </w:rPr>
      </w:pPr>
      <w:r>
        <w:rPr>
          <w:rFonts w:ascii="Times New Roman" w:hAnsi="Times New Roman" w:cs="Times New Roman"/>
          <w:bCs/>
        </w:rPr>
        <w:t>B1.2.19</w:t>
      </w:r>
      <w:r>
        <w:rPr>
          <w:rFonts w:hint="eastAsia" w:ascii="Times New Roman" w:hAnsi="Times New Roman" w:cs="Times New Roman"/>
          <w:bCs/>
          <w:lang w:eastAsia="zh-CN"/>
        </w:rPr>
        <w:t>谈判</w:t>
      </w:r>
      <w:r>
        <w:rPr>
          <w:rFonts w:ascii="Times New Roman" w:hAnsi="Times New Roman" w:cs="Times New Roman"/>
          <w:bCs/>
        </w:rPr>
        <w:t>人直接或者间接向投标人泄露标底、评标委员会成员等信息；</w:t>
      </w:r>
    </w:p>
    <w:p w14:paraId="659BAC7D">
      <w:pPr>
        <w:autoSpaceDE w:val="0"/>
        <w:autoSpaceDN w:val="0"/>
        <w:spacing w:line="360" w:lineRule="auto"/>
        <w:ind w:firstLine="480" w:firstLineChars="200"/>
        <w:jc w:val="both"/>
        <w:rPr>
          <w:rFonts w:ascii="Times New Roman" w:hAnsi="Times New Roman" w:cs="Times New Roman"/>
          <w:bCs/>
        </w:rPr>
      </w:pPr>
      <w:r>
        <w:rPr>
          <w:rFonts w:ascii="Times New Roman" w:hAnsi="Times New Roman" w:cs="Times New Roman"/>
          <w:bCs/>
        </w:rPr>
        <w:t>B1.2.20</w:t>
      </w:r>
      <w:r>
        <w:rPr>
          <w:rFonts w:hint="eastAsia" w:ascii="Times New Roman" w:hAnsi="Times New Roman" w:cs="Times New Roman"/>
          <w:bCs/>
          <w:lang w:eastAsia="zh-CN"/>
        </w:rPr>
        <w:t>谈判</w:t>
      </w:r>
      <w:r>
        <w:rPr>
          <w:rFonts w:ascii="Times New Roman" w:hAnsi="Times New Roman" w:cs="Times New Roman"/>
          <w:bCs/>
        </w:rPr>
        <w:t>人明示或者暗示投标人压低或者抬高投标报价；</w:t>
      </w:r>
    </w:p>
    <w:p w14:paraId="203527E1">
      <w:pPr>
        <w:autoSpaceDE w:val="0"/>
        <w:autoSpaceDN w:val="0"/>
        <w:spacing w:line="360" w:lineRule="auto"/>
        <w:ind w:firstLine="480" w:firstLineChars="200"/>
        <w:jc w:val="both"/>
        <w:rPr>
          <w:rFonts w:ascii="Times New Roman" w:hAnsi="Times New Roman" w:cs="Times New Roman"/>
          <w:bCs/>
        </w:rPr>
      </w:pPr>
      <w:r>
        <w:rPr>
          <w:rFonts w:ascii="Times New Roman" w:hAnsi="Times New Roman" w:cs="Times New Roman"/>
          <w:bCs/>
        </w:rPr>
        <w:t>B1.2.21</w:t>
      </w:r>
      <w:r>
        <w:rPr>
          <w:rFonts w:hint="eastAsia" w:ascii="Times New Roman" w:hAnsi="Times New Roman" w:cs="Times New Roman"/>
          <w:bCs/>
          <w:lang w:eastAsia="zh-CN"/>
        </w:rPr>
        <w:t>谈判</w:t>
      </w:r>
      <w:r>
        <w:rPr>
          <w:rFonts w:ascii="Times New Roman" w:hAnsi="Times New Roman" w:cs="Times New Roman"/>
          <w:bCs/>
        </w:rPr>
        <w:t>人授意投标人撤换、修改投标文件；</w:t>
      </w:r>
    </w:p>
    <w:p w14:paraId="3247AEDE">
      <w:pPr>
        <w:autoSpaceDE w:val="0"/>
        <w:autoSpaceDN w:val="0"/>
        <w:spacing w:line="360" w:lineRule="auto"/>
        <w:ind w:firstLine="480" w:firstLineChars="200"/>
        <w:jc w:val="both"/>
        <w:rPr>
          <w:rFonts w:ascii="Times New Roman" w:hAnsi="Times New Roman" w:cs="Times New Roman"/>
          <w:bCs/>
        </w:rPr>
      </w:pPr>
      <w:r>
        <w:rPr>
          <w:rFonts w:ascii="Times New Roman" w:hAnsi="Times New Roman" w:cs="Times New Roman"/>
          <w:bCs/>
        </w:rPr>
        <w:t>B1.2.22</w:t>
      </w:r>
      <w:r>
        <w:rPr>
          <w:rFonts w:hint="eastAsia" w:ascii="Times New Roman" w:hAnsi="Times New Roman" w:cs="Times New Roman"/>
          <w:bCs/>
          <w:lang w:eastAsia="zh-CN"/>
        </w:rPr>
        <w:t>谈判</w:t>
      </w:r>
      <w:r>
        <w:rPr>
          <w:rFonts w:ascii="Times New Roman" w:hAnsi="Times New Roman" w:cs="Times New Roman"/>
          <w:bCs/>
        </w:rPr>
        <w:t>人明示或者暗示投标人为特定投标人中标提供方便；</w:t>
      </w:r>
    </w:p>
    <w:p w14:paraId="030C431C">
      <w:pPr>
        <w:autoSpaceDE w:val="0"/>
        <w:autoSpaceDN w:val="0"/>
        <w:spacing w:line="360" w:lineRule="auto"/>
        <w:ind w:firstLine="480" w:firstLineChars="200"/>
        <w:jc w:val="both"/>
        <w:rPr>
          <w:rFonts w:ascii="Times New Roman" w:hAnsi="Times New Roman" w:cs="Times New Roman"/>
          <w:bCs/>
        </w:rPr>
      </w:pPr>
      <w:r>
        <w:rPr>
          <w:rFonts w:ascii="Times New Roman" w:hAnsi="Times New Roman" w:cs="Times New Roman"/>
          <w:bCs/>
        </w:rPr>
        <w:t>B1.2.23</w:t>
      </w:r>
      <w:r>
        <w:rPr>
          <w:rFonts w:hint="eastAsia" w:ascii="Times New Roman" w:hAnsi="Times New Roman" w:cs="Times New Roman"/>
          <w:bCs/>
          <w:lang w:eastAsia="zh-CN"/>
        </w:rPr>
        <w:t>谈判</w:t>
      </w:r>
      <w:r>
        <w:rPr>
          <w:rFonts w:ascii="Times New Roman" w:hAnsi="Times New Roman" w:cs="Times New Roman"/>
          <w:bCs/>
        </w:rPr>
        <w:t>人与投标人为谋求特定投标人中标而采取的其他串通行为；</w:t>
      </w:r>
    </w:p>
    <w:p w14:paraId="08772F17">
      <w:pPr>
        <w:autoSpaceDE w:val="0"/>
        <w:autoSpaceDN w:val="0"/>
        <w:spacing w:line="360" w:lineRule="auto"/>
        <w:ind w:firstLine="480" w:firstLineChars="200"/>
        <w:jc w:val="both"/>
        <w:rPr>
          <w:rFonts w:ascii="Times New Roman" w:hAnsi="Times New Roman" w:cs="Times New Roman"/>
          <w:bCs/>
        </w:rPr>
      </w:pPr>
      <w:r>
        <w:rPr>
          <w:rFonts w:ascii="Times New Roman" w:hAnsi="Times New Roman" w:cs="Times New Roman"/>
          <w:bCs/>
        </w:rPr>
        <w:t>B1.2.24评标委员会认定的其他串通投标情形；</w:t>
      </w:r>
    </w:p>
    <w:p w14:paraId="5F563563">
      <w:pPr>
        <w:autoSpaceDE w:val="0"/>
        <w:autoSpaceDN w:val="0"/>
        <w:spacing w:line="360" w:lineRule="auto"/>
        <w:ind w:firstLine="480" w:firstLineChars="200"/>
        <w:jc w:val="both"/>
        <w:rPr>
          <w:rFonts w:ascii="Times New Roman" w:hAnsi="Times New Roman" w:cs="Times New Roman"/>
          <w:bCs/>
        </w:rPr>
      </w:pPr>
      <w:r>
        <w:rPr>
          <w:rFonts w:ascii="Times New Roman" w:hAnsi="Times New Roman" w:cs="Times New Roman"/>
          <w:bCs/>
        </w:rPr>
        <w:t>B1.3不按评标委员会要求澄清、说明或补正的。</w:t>
      </w:r>
    </w:p>
    <w:p w14:paraId="094AF1FF">
      <w:pPr>
        <w:autoSpaceDE w:val="0"/>
        <w:autoSpaceDN w:val="0"/>
        <w:spacing w:line="360" w:lineRule="auto"/>
        <w:ind w:firstLine="480" w:firstLineChars="200"/>
        <w:jc w:val="both"/>
        <w:rPr>
          <w:rFonts w:ascii="Times New Roman" w:hAnsi="Times New Roman" w:cs="Times New Roman"/>
          <w:bCs/>
        </w:rPr>
      </w:pPr>
      <w:r>
        <w:rPr>
          <w:rFonts w:ascii="Times New Roman" w:hAnsi="Times New Roman" w:cs="Times New Roman"/>
          <w:bCs/>
        </w:rPr>
        <w:t>B1.4在形式评审、资格评审（适用于未进行资格预审的）、响应性评审中，评标委员会认定投标人的投标文件不符合评标办法前附表中规定的任何一项评审标准的。</w:t>
      </w:r>
    </w:p>
    <w:p w14:paraId="1B32826E">
      <w:pPr>
        <w:autoSpaceDE w:val="0"/>
        <w:autoSpaceDN w:val="0"/>
        <w:spacing w:line="360" w:lineRule="auto"/>
        <w:ind w:firstLine="480" w:firstLineChars="200"/>
        <w:jc w:val="both"/>
        <w:rPr>
          <w:rFonts w:ascii="Times New Roman" w:hAnsi="Times New Roman" w:cs="Times New Roman"/>
          <w:bCs/>
        </w:rPr>
      </w:pPr>
      <w:r>
        <w:rPr>
          <w:rFonts w:ascii="Times New Roman" w:hAnsi="Times New Roman" w:cs="Times New Roman"/>
          <w:bCs/>
        </w:rPr>
        <w:t>B1.5当投标人资格预审申请文件的内容发生重大变化时，其在投标文件中更新的资料，未能通过资格评审的（适用于已进行资格预审的）。</w:t>
      </w:r>
    </w:p>
    <w:p w14:paraId="7BC271AD">
      <w:pPr>
        <w:autoSpaceDE w:val="0"/>
        <w:autoSpaceDN w:val="0"/>
        <w:spacing w:line="360" w:lineRule="auto"/>
        <w:ind w:firstLine="480" w:firstLineChars="200"/>
        <w:jc w:val="both"/>
        <w:rPr>
          <w:rFonts w:ascii="Times New Roman" w:hAnsi="Times New Roman" w:cs="Times New Roman"/>
          <w:bCs/>
        </w:rPr>
      </w:pPr>
      <w:r>
        <w:rPr>
          <w:rFonts w:ascii="Times New Roman" w:hAnsi="Times New Roman" w:cs="Times New Roman"/>
          <w:bCs/>
        </w:rPr>
        <w:t>B1.6在技术标和资信标评审中，评标委员会认定投标人的投标未能通过此项评审的。</w:t>
      </w:r>
    </w:p>
    <w:p w14:paraId="6D8FF122">
      <w:pPr>
        <w:autoSpaceDE w:val="0"/>
        <w:autoSpaceDN w:val="0"/>
        <w:spacing w:line="360" w:lineRule="auto"/>
        <w:ind w:firstLine="480" w:firstLineChars="200"/>
        <w:jc w:val="both"/>
        <w:rPr>
          <w:rFonts w:ascii="Times New Roman" w:hAnsi="Times New Roman" w:cs="Times New Roman"/>
          <w:bCs/>
        </w:rPr>
      </w:pPr>
      <w:r>
        <w:rPr>
          <w:rFonts w:ascii="Times New Roman" w:hAnsi="Times New Roman" w:cs="Times New Roman"/>
          <w:bCs/>
        </w:rPr>
        <w:t>B1.7评标委员会认定投标人以低于成本报价竞标的。</w:t>
      </w:r>
    </w:p>
    <w:p w14:paraId="462285C9">
      <w:pPr>
        <w:autoSpaceDE w:val="0"/>
        <w:autoSpaceDN w:val="0"/>
        <w:spacing w:line="360" w:lineRule="auto"/>
        <w:ind w:firstLine="480" w:firstLineChars="200"/>
        <w:jc w:val="both"/>
        <w:rPr>
          <w:rFonts w:ascii="Times New Roman" w:hAnsi="Times New Roman" w:cs="Times New Roman"/>
          <w:bCs/>
        </w:rPr>
      </w:pPr>
      <w:r>
        <w:rPr>
          <w:rFonts w:ascii="Times New Roman" w:hAnsi="Times New Roman" w:cs="Times New Roman"/>
          <w:bCs/>
        </w:rPr>
        <w:t>B1.8投标单位得报价高于采购文件载明的最高限价的，有效投标单位不满三家。</w:t>
      </w:r>
    </w:p>
    <w:p w14:paraId="3573412B">
      <w:pPr>
        <w:widowControl/>
        <w:rPr>
          <w:rFonts w:ascii="Times New Roman" w:hAnsi="Times New Roman" w:cs="Times New Roman"/>
          <w:bCs/>
        </w:rPr>
      </w:pPr>
      <w:r>
        <w:rPr>
          <w:rFonts w:ascii="Times New Roman" w:hAnsi="Times New Roman" w:cs="Times New Roman"/>
          <w:bCs/>
        </w:rPr>
        <w:br w:type="page"/>
      </w:r>
    </w:p>
    <w:p w14:paraId="2197DD99">
      <w:pPr>
        <w:pStyle w:val="128"/>
        <w:spacing w:before="120"/>
        <w:rPr>
          <w:rFonts w:ascii="Times New Roman" w:hAnsi="Times New Roman" w:eastAsia="黑体" w:cs="Times New Roman"/>
          <w:bCs/>
          <w:kern w:val="2"/>
          <w:sz w:val="36"/>
          <w:szCs w:val="36"/>
        </w:rPr>
      </w:pPr>
      <w:bookmarkStart w:id="276" w:name="_Toc218261993"/>
      <w:bookmarkStart w:id="277" w:name="_Toc218261957"/>
      <w:r>
        <w:rPr>
          <w:rFonts w:ascii="Times New Roman" w:hAnsi="Times New Roman" w:eastAsia="黑体" w:cs="Times New Roman"/>
          <w:bCs/>
          <w:kern w:val="2"/>
          <w:sz w:val="36"/>
          <w:szCs w:val="36"/>
        </w:rPr>
        <w:t>第四章 合同条款及格式</w:t>
      </w:r>
      <w:bookmarkEnd w:id="276"/>
      <w:bookmarkEnd w:id="277"/>
    </w:p>
    <w:p w14:paraId="5A1CFB4A">
      <w:pPr>
        <w:spacing w:line="360" w:lineRule="auto"/>
        <w:rPr>
          <w:rFonts w:ascii="仿宋_GB2312" w:hAnsi="宋体" w:eastAsia="仿宋_GB2312"/>
          <w:b/>
          <w:bCs/>
          <w:sz w:val="30"/>
          <w:szCs w:val="30"/>
        </w:rPr>
      </w:pPr>
      <w:r>
        <w:rPr>
          <w:rFonts w:hint="eastAsia" w:ascii="仿宋_GB2312" w:eastAsia="仿宋_GB2312"/>
          <w:b/>
          <w:sz w:val="32"/>
          <w:szCs w:val="32"/>
        </w:rPr>
        <w:t>（ＧＦ－2012－0202）</w:t>
      </w:r>
    </w:p>
    <w:p w14:paraId="24E13561">
      <w:pPr>
        <w:jc w:val="center"/>
        <w:rPr>
          <w:rFonts w:ascii="华文中宋" w:hAnsi="华文中宋" w:eastAsia="华文中宋"/>
          <w:b/>
          <w:bCs/>
          <w:sz w:val="48"/>
          <w:szCs w:val="48"/>
        </w:rPr>
      </w:pPr>
      <w:r>
        <w:rPr>
          <w:rFonts w:hint="eastAsia" w:ascii="华文中宋" w:hAnsi="华文中宋" w:eastAsia="华文中宋"/>
          <w:b/>
          <w:bCs/>
          <w:sz w:val="48"/>
          <w:szCs w:val="48"/>
        </w:rPr>
        <w:t>山东济钢环保新材料有限公司</w:t>
      </w:r>
    </w:p>
    <w:p w14:paraId="6EC98880">
      <w:pPr>
        <w:jc w:val="center"/>
        <w:rPr>
          <w:rFonts w:ascii="华文中宋" w:hAnsi="华文中宋" w:eastAsia="华文中宋"/>
          <w:b/>
          <w:bCs/>
          <w:sz w:val="48"/>
          <w:szCs w:val="48"/>
        </w:rPr>
      </w:pPr>
      <w:r>
        <w:rPr>
          <w:rFonts w:hint="eastAsia" w:ascii="华文中宋" w:hAnsi="华文中宋" w:eastAsia="华文中宋"/>
          <w:b/>
          <w:bCs/>
          <w:sz w:val="48"/>
          <w:szCs w:val="48"/>
        </w:rPr>
        <w:t>2025年度绿色矿山建设提升项目</w:t>
      </w:r>
    </w:p>
    <w:p w14:paraId="44869488">
      <w:pPr>
        <w:jc w:val="center"/>
        <w:rPr>
          <w:rFonts w:ascii="华文中宋" w:hAnsi="华文中宋" w:eastAsia="华文中宋"/>
          <w:b/>
          <w:bCs/>
          <w:sz w:val="48"/>
          <w:szCs w:val="48"/>
        </w:rPr>
      </w:pPr>
      <w:r>
        <w:rPr>
          <w:rFonts w:hint="eastAsia" w:ascii="华文中宋" w:hAnsi="华文中宋" w:eastAsia="华文中宋"/>
          <w:b/>
          <w:bCs/>
          <w:sz w:val="52"/>
          <w:szCs w:val="52"/>
        </w:rPr>
        <w:t>建设工程监理合同</w:t>
      </w:r>
    </w:p>
    <w:p w14:paraId="79FCECF6">
      <w:pPr>
        <w:spacing w:line="360" w:lineRule="auto"/>
        <w:jc w:val="center"/>
        <w:rPr>
          <w:rFonts w:ascii="仿宋_GB2312" w:hAnsi="宋体" w:eastAsia="仿宋_GB2312"/>
          <w:bCs/>
          <w:sz w:val="48"/>
          <w:szCs w:val="48"/>
        </w:rPr>
      </w:pPr>
    </w:p>
    <w:p w14:paraId="771B851C">
      <w:pPr>
        <w:spacing w:line="360" w:lineRule="auto"/>
        <w:jc w:val="center"/>
        <w:rPr>
          <w:rFonts w:ascii="仿宋_GB2312" w:hAnsi="宋体" w:eastAsia="仿宋_GB2312"/>
          <w:b/>
          <w:bCs/>
        </w:rPr>
      </w:pPr>
    </w:p>
    <w:p w14:paraId="75CE8B2A">
      <w:pPr>
        <w:spacing w:line="360" w:lineRule="auto"/>
        <w:jc w:val="center"/>
        <w:rPr>
          <w:rFonts w:ascii="仿宋_GB2312" w:hAnsi="宋体" w:eastAsia="仿宋_GB2312"/>
          <w:b/>
          <w:bCs/>
        </w:rPr>
      </w:pPr>
    </w:p>
    <w:p w14:paraId="0FBDBE2D">
      <w:pPr>
        <w:spacing w:line="360" w:lineRule="auto"/>
        <w:jc w:val="center"/>
        <w:rPr>
          <w:rFonts w:ascii="仿宋_GB2312" w:hAnsi="宋体" w:eastAsia="仿宋_GB2312"/>
          <w:b/>
          <w:bCs/>
        </w:rPr>
      </w:pPr>
    </w:p>
    <w:p w14:paraId="7D3577D2">
      <w:pPr>
        <w:spacing w:line="360" w:lineRule="auto"/>
        <w:jc w:val="center"/>
        <w:rPr>
          <w:rFonts w:ascii="仿宋_GB2312" w:hAnsi="宋体" w:eastAsia="仿宋_GB2312"/>
          <w:b/>
          <w:bCs/>
        </w:rPr>
      </w:pPr>
    </w:p>
    <w:p w14:paraId="0742AB54">
      <w:pPr>
        <w:spacing w:line="360" w:lineRule="auto"/>
        <w:jc w:val="center"/>
        <w:rPr>
          <w:rFonts w:ascii="仿宋_GB2312" w:hAnsi="宋体" w:eastAsia="仿宋_GB2312"/>
          <w:b/>
          <w:bCs/>
        </w:rPr>
      </w:pPr>
    </w:p>
    <w:p w14:paraId="23B368B2">
      <w:pPr>
        <w:spacing w:line="360" w:lineRule="auto"/>
        <w:jc w:val="center"/>
        <w:rPr>
          <w:rFonts w:ascii="仿宋_GB2312" w:hAnsi="宋体" w:eastAsia="仿宋_GB2312"/>
          <w:b/>
          <w:bCs/>
        </w:rPr>
      </w:pPr>
    </w:p>
    <w:p w14:paraId="34C42A77">
      <w:pPr>
        <w:spacing w:line="360" w:lineRule="auto"/>
        <w:jc w:val="center"/>
        <w:rPr>
          <w:rFonts w:ascii="仿宋_GB2312" w:hAnsi="宋体" w:eastAsia="仿宋_GB2312"/>
          <w:b/>
          <w:bCs/>
        </w:rPr>
      </w:pPr>
    </w:p>
    <w:p w14:paraId="649DDABD">
      <w:pPr>
        <w:spacing w:line="360" w:lineRule="auto"/>
        <w:jc w:val="center"/>
        <w:rPr>
          <w:rFonts w:ascii="仿宋_GB2312" w:hAnsi="宋体" w:eastAsia="仿宋_GB2312"/>
          <w:b/>
          <w:bCs/>
        </w:rPr>
      </w:pPr>
    </w:p>
    <w:p w14:paraId="16DD77C1">
      <w:pPr>
        <w:spacing w:line="360" w:lineRule="auto"/>
        <w:jc w:val="center"/>
        <w:rPr>
          <w:rFonts w:ascii="仿宋_GB2312" w:hAnsi="宋体" w:eastAsia="仿宋_GB2312"/>
          <w:b/>
          <w:bCs/>
        </w:rPr>
      </w:pPr>
    </w:p>
    <w:p w14:paraId="4947DA97">
      <w:pPr>
        <w:spacing w:line="360" w:lineRule="auto"/>
        <w:rPr>
          <w:rFonts w:ascii="仿宋_GB2312" w:hAnsi="宋体" w:eastAsia="仿宋_GB2312"/>
          <w:b/>
          <w:bCs/>
        </w:rPr>
      </w:pPr>
    </w:p>
    <w:p w14:paraId="6499A487">
      <w:pPr>
        <w:spacing w:line="360" w:lineRule="auto"/>
        <w:rPr>
          <w:rFonts w:ascii="仿宋_GB2312" w:hAnsi="宋体" w:eastAsia="仿宋_GB2312"/>
          <w:b/>
          <w:bCs/>
        </w:rPr>
      </w:pPr>
    </w:p>
    <w:p w14:paraId="7549A86E">
      <w:pPr>
        <w:spacing w:line="360" w:lineRule="auto"/>
        <w:rPr>
          <w:rFonts w:ascii="仿宋_GB2312" w:hAnsi="宋体" w:eastAsia="仿宋_GB2312"/>
          <w:b/>
          <w:bCs/>
        </w:rPr>
      </w:pPr>
    </w:p>
    <w:p w14:paraId="25CF788D">
      <w:pPr>
        <w:spacing w:line="360" w:lineRule="auto"/>
        <w:jc w:val="center"/>
        <w:rPr>
          <w:rFonts w:ascii="华文中宋" w:hAnsi="华文中宋" w:eastAsia="华文中宋"/>
          <w:b/>
        </w:rPr>
      </w:pPr>
      <w:r>
        <w:rPr>
          <w:rFonts w:hint="eastAsia" w:ascii="仿宋_GB2312" w:hAnsi="宋体" w:eastAsia="仿宋_GB2312"/>
          <w:b/>
          <w:bCs/>
          <w:sz w:val="32"/>
          <w:szCs w:val="32"/>
        </w:rPr>
        <w:t xml:space="preserve">  </w:t>
      </w:r>
      <w:r>
        <w:rPr>
          <w:rFonts w:hint="eastAsia" w:ascii="华文中宋" w:hAnsi="华文中宋" w:eastAsia="华文中宋"/>
          <w:b/>
          <w:bCs/>
          <w:sz w:val="32"/>
          <w:szCs w:val="32"/>
        </w:rPr>
        <w:t>住房和城乡建设部</w:t>
      </w:r>
    </w:p>
    <w:p w14:paraId="235084FA">
      <w:pPr>
        <w:spacing w:line="360" w:lineRule="auto"/>
        <w:jc w:val="center"/>
        <w:rPr>
          <w:rFonts w:ascii="华文中宋" w:hAnsi="华文中宋" w:eastAsia="华文中宋"/>
          <w:b/>
          <w:sz w:val="32"/>
          <w:szCs w:val="32"/>
        </w:rPr>
      </w:pPr>
      <w:r>
        <w:rPr>
          <w:rFonts w:hint="eastAsia" w:ascii="华文中宋" w:hAnsi="华文中宋" w:eastAsia="华文中宋"/>
          <w:b/>
        </w:rPr>
        <w:t xml:space="preserve">                                                                    </w:t>
      </w:r>
      <w:r>
        <w:rPr>
          <w:rFonts w:hint="eastAsia" w:ascii="华文中宋" w:hAnsi="华文中宋" w:eastAsia="华文中宋"/>
          <w:b/>
          <w:sz w:val="32"/>
          <w:szCs w:val="32"/>
        </w:rPr>
        <w:t>制定</w:t>
      </w:r>
    </w:p>
    <w:p w14:paraId="630A36CC">
      <w:pPr>
        <w:spacing w:line="360" w:lineRule="auto"/>
        <w:jc w:val="center"/>
        <w:rPr>
          <w:rFonts w:ascii="华文中宋" w:hAnsi="华文中宋" w:eastAsia="华文中宋"/>
          <w:b/>
        </w:rPr>
      </w:pPr>
      <w:r>
        <w:rPr>
          <w:rFonts w:hint="eastAsia" w:ascii="华文中宋" w:hAnsi="华文中宋" w:eastAsia="华文中宋"/>
          <w:b/>
          <w:bCs/>
          <w:sz w:val="32"/>
          <w:szCs w:val="32"/>
        </w:rPr>
        <w:t xml:space="preserve">   国家工商行政管理总局</w:t>
      </w:r>
    </w:p>
    <w:p w14:paraId="19E510FF">
      <w:pPr>
        <w:spacing w:line="360" w:lineRule="auto"/>
        <w:jc w:val="center"/>
        <w:rPr>
          <w:rFonts w:ascii="华文中宋" w:hAnsi="华文中宋" w:eastAsia="华文中宋"/>
          <w:b/>
          <w:bCs/>
        </w:rPr>
      </w:pPr>
    </w:p>
    <w:p w14:paraId="03C9B4CC">
      <w:pPr>
        <w:spacing w:line="360" w:lineRule="auto"/>
        <w:jc w:val="center"/>
        <w:rPr>
          <w:rFonts w:ascii="仿宋_GB2312" w:hAnsi="宋体" w:eastAsia="仿宋_GB2312"/>
          <w:b/>
          <w:bCs/>
          <w:sz w:val="32"/>
          <w:szCs w:val="32"/>
        </w:rPr>
      </w:pPr>
      <w:r>
        <w:rPr>
          <w:rFonts w:hint="eastAsia" w:ascii="华文中宋" w:hAnsi="华文中宋" w:eastAsia="华文中宋"/>
          <w:b/>
          <w:bCs/>
          <w:sz w:val="32"/>
          <w:szCs w:val="32"/>
        </w:rPr>
        <w:t xml:space="preserve"> </w:t>
      </w:r>
    </w:p>
    <w:p w14:paraId="6C29A563">
      <w:pPr>
        <w:tabs>
          <w:tab w:val="left" w:pos="3120"/>
        </w:tabs>
        <w:spacing w:line="360" w:lineRule="auto"/>
        <w:ind w:firstLine="2643" w:firstLineChars="600"/>
        <w:rPr>
          <w:rFonts w:ascii="华文中宋" w:hAnsi="华文中宋" w:eastAsia="华文中宋"/>
          <w:b/>
          <w:bCs/>
          <w:sz w:val="44"/>
          <w:szCs w:val="44"/>
        </w:rPr>
      </w:pPr>
      <w:r>
        <w:rPr>
          <w:rFonts w:hint="eastAsia" w:ascii="华文中宋" w:hAnsi="华文中宋" w:eastAsia="华文中宋"/>
          <w:b/>
          <w:bCs/>
          <w:sz w:val="44"/>
          <w:szCs w:val="44"/>
        </w:rPr>
        <w:br w:type="page"/>
      </w:r>
      <w:r>
        <w:rPr>
          <w:rFonts w:hint="eastAsia" w:ascii="华文中宋" w:hAnsi="华文中宋" w:eastAsia="华文中宋"/>
          <w:b/>
          <w:bCs/>
          <w:sz w:val="44"/>
          <w:szCs w:val="44"/>
        </w:rPr>
        <w:t>第一部分  协议书</w:t>
      </w:r>
    </w:p>
    <w:p w14:paraId="14BAB869">
      <w:pPr>
        <w:adjustRightInd w:val="0"/>
        <w:snapToGrid w:val="0"/>
        <w:spacing w:line="360" w:lineRule="auto"/>
        <w:ind w:firstLine="326" w:firstLineChars="250"/>
        <w:rPr>
          <w:rFonts w:ascii="仿宋_GB2312" w:hAnsi="宋体" w:eastAsia="仿宋_GB2312"/>
          <w:b/>
          <w:sz w:val="13"/>
          <w:szCs w:val="13"/>
        </w:rPr>
      </w:pPr>
    </w:p>
    <w:p w14:paraId="5A4147EB">
      <w:pPr>
        <w:adjustRightInd w:val="0"/>
        <w:snapToGrid w:val="0"/>
        <w:spacing w:line="360" w:lineRule="auto"/>
        <w:ind w:firstLine="643" w:firstLineChars="200"/>
        <w:rPr>
          <w:rFonts w:ascii="仿宋_GB2312" w:hAnsi="宋体" w:eastAsia="仿宋_GB2312"/>
          <w:b/>
          <w:sz w:val="32"/>
          <w:szCs w:val="32"/>
          <w:u w:val="single"/>
        </w:rPr>
      </w:pPr>
      <w:r>
        <w:rPr>
          <w:rFonts w:hint="eastAsia" w:ascii="仿宋_GB2312" w:hAnsi="宋体" w:eastAsia="仿宋_GB2312"/>
          <w:b/>
          <w:sz w:val="32"/>
          <w:szCs w:val="32"/>
        </w:rPr>
        <w:t>委托人（全称）：</w:t>
      </w:r>
      <w:r>
        <w:rPr>
          <w:rFonts w:hint="eastAsia" w:ascii="仿宋_GB2312" w:hAnsi="宋体" w:eastAsia="仿宋_GB2312"/>
          <w:b/>
          <w:sz w:val="32"/>
          <w:szCs w:val="32"/>
          <w:u w:val="single"/>
        </w:rPr>
        <w:t>山东济钢环保新材料有限公司</w:t>
      </w:r>
    </w:p>
    <w:p w14:paraId="1570EFEB">
      <w:pPr>
        <w:adjustRightInd w:val="0"/>
        <w:snapToGrid w:val="0"/>
        <w:spacing w:line="360" w:lineRule="auto"/>
        <w:ind w:firstLine="643" w:firstLineChars="200"/>
        <w:rPr>
          <w:rFonts w:ascii="仿宋_GB2312" w:hAnsi="宋体" w:eastAsia="仿宋_GB2312"/>
          <w:sz w:val="32"/>
          <w:szCs w:val="32"/>
        </w:rPr>
      </w:pPr>
      <w:r>
        <w:rPr>
          <w:rFonts w:hint="eastAsia" w:ascii="仿宋_GB2312" w:hAnsi="宋体" w:eastAsia="仿宋_GB2312"/>
          <w:b/>
          <w:sz w:val="32"/>
          <w:szCs w:val="32"/>
        </w:rPr>
        <w:t>监理人（全称）：</w:t>
      </w:r>
      <w:r>
        <w:rPr>
          <w:rFonts w:hint="eastAsia" w:ascii="仿宋_GB2312" w:hAnsi="宋体" w:eastAsia="仿宋_GB2312"/>
          <w:b/>
          <w:sz w:val="32"/>
          <w:szCs w:val="32"/>
          <w:u w:val="single"/>
        </w:rPr>
        <w:t xml:space="preserve">  </w:t>
      </w:r>
    </w:p>
    <w:p w14:paraId="28B0D347">
      <w:pPr>
        <w:adjustRightInd w:val="0"/>
        <w:snapToGrid w:val="0"/>
        <w:spacing w:line="360" w:lineRule="auto"/>
        <w:ind w:firstLine="640" w:firstLineChars="200"/>
        <w:rPr>
          <w:rFonts w:ascii="仿宋_GB2312" w:hAnsi="宋体" w:eastAsia="仿宋_GB2312"/>
          <w:sz w:val="32"/>
          <w:szCs w:val="32"/>
          <w:u w:val="single"/>
        </w:rPr>
      </w:pPr>
      <w:r>
        <w:rPr>
          <w:rFonts w:hint="eastAsia" w:ascii="仿宋_GB2312" w:hAnsi="宋体" w:eastAsia="仿宋_GB2312"/>
          <w:sz w:val="32"/>
          <w:szCs w:val="32"/>
        </w:rPr>
        <w:t>根据《中华人民共和国合同法》、《中华人民共和国建筑法》及其他有关法律、法规，遵循平等、自愿、公平和诚信的原则，双方就下述工程委托监理与相关服务事项协商一致，订立本合同。</w:t>
      </w:r>
    </w:p>
    <w:p w14:paraId="22A61A85">
      <w:pPr>
        <w:spacing w:line="360" w:lineRule="auto"/>
        <w:ind w:firstLine="636" w:firstLineChars="198"/>
        <w:rPr>
          <w:rFonts w:ascii="仿宋_GB2312" w:hAnsi="华文楷体" w:eastAsia="仿宋_GB2312"/>
          <w:b/>
          <w:sz w:val="32"/>
          <w:szCs w:val="32"/>
        </w:rPr>
      </w:pPr>
      <w:r>
        <w:rPr>
          <w:rFonts w:hint="eastAsia" w:ascii="仿宋_GB2312" w:hAnsi="华文楷体" w:eastAsia="仿宋_GB2312"/>
          <w:b/>
          <w:sz w:val="32"/>
          <w:szCs w:val="32"/>
        </w:rPr>
        <w:t>一、工程概况</w:t>
      </w:r>
    </w:p>
    <w:p w14:paraId="59541DFB">
      <w:pPr>
        <w:adjustRightInd w:val="0"/>
        <w:snapToGrid w:val="0"/>
        <w:spacing w:line="360" w:lineRule="auto"/>
        <w:ind w:firstLine="633" w:firstLineChars="198"/>
        <w:rPr>
          <w:rFonts w:ascii="仿宋_GB2312" w:eastAsia="仿宋_GB2312"/>
        </w:rPr>
      </w:pPr>
      <w:r>
        <w:rPr>
          <w:rFonts w:hint="eastAsia" w:ascii="仿宋_GB2312" w:eastAsia="仿宋_GB2312"/>
          <w:sz w:val="32"/>
          <w:szCs w:val="32"/>
        </w:rPr>
        <w:t xml:space="preserve">1. </w:t>
      </w:r>
      <w:r>
        <w:rPr>
          <w:rFonts w:hint="eastAsia" w:ascii="仿宋_GB2312" w:hAnsi="宋体" w:eastAsia="仿宋_GB2312"/>
          <w:sz w:val="32"/>
          <w:szCs w:val="32"/>
        </w:rPr>
        <w:t>工程名称：</w:t>
      </w:r>
      <w:r>
        <w:rPr>
          <w:rFonts w:hint="eastAsia" w:ascii="仿宋_GB2312" w:hAnsi="宋体" w:eastAsia="仿宋_GB2312" w:cs="Times New Roman"/>
          <w:sz w:val="32"/>
          <w:szCs w:val="32"/>
          <w:u w:val="single"/>
        </w:rPr>
        <w:t>；</w:t>
      </w:r>
    </w:p>
    <w:p w14:paraId="0B0F12D5">
      <w:pPr>
        <w:adjustRightInd w:val="0"/>
        <w:snapToGrid w:val="0"/>
        <w:spacing w:line="360" w:lineRule="auto"/>
        <w:ind w:firstLine="633" w:firstLineChars="198"/>
        <w:rPr>
          <w:rFonts w:ascii="仿宋_GB2312" w:hAnsi="宋体" w:eastAsia="仿宋_GB2312" w:cs="Times New Roman"/>
          <w:sz w:val="32"/>
          <w:szCs w:val="32"/>
          <w:u w:val="single"/>
        </w:rPr>
      </w:pPr>
      <w:r>
        <w:rPr>
          <w:rFonts w:hint="eastAsia" w:ascii="仿宋_GB2312" w:eastAsia="仿宋_GB2312"/>
          <w:sz w:val="32"/>
          <w:szCs w:val="32"/>
        </w:rPr>
        <w:t xml:space="preserve">2. </w:t>
      </w:r>
      <w:r>
        <w:rPr>
          <w:rFonts w:hint="eastAsia" w:ascii="仿宋_GB2312" w:hAnsi="宋体" w:eastAsia="仿宋_GB2312"/>
          <w:sz w:val="32"/>
          <w:szCs w:val="32"/>
        </w:rPr>
        <w:t>工程地点：</w:t>
      </w:r>
      <w:r>
        <w:rPr>
          <w:rFonts w:hint="eastAsia" w:ascii="仿宋_GB2312" w:hAnsi="宋体" w:eastAsia="仿宋_GB2312" w:cs="Times New Roman"/>
          <w:sz w:val="32"/>
          <w:szCs w:val="32"/>
          <w:u w:val="single"/>
        </w:rPr>
        <w:t>；</w:t>
      </w:r>
    </w:p>
    <w:p w14:paraId="5C523764">
      <w:pPr>
        <w:adjustRightInd w:val="0"/>
        <w:snapToGrid w:val="0"/>
        <w:spacing w:line="360" w:lineRule="auto"/>
        <w:ind w:firstLine="633" w:firstLineChars="198"/>
        <w:rPr>
          <w:rFonts w:ascii="仿宋_GB2312" w:eastAsia="仿宋_GB2312"/>
        </w:rPr>
      </w:pPr>
      <w:r>
        <w:rPr>
          <w:rFonts w:hint="eastAsia" w:ascii="仿宋_GB2312" w:eastAsia="仿宋_GB2312"/>
          <w:sz w:val="32"/>
          <w:szCs w:val="32"/>
        </w:rPr>
        <w:t xml:space="preserve">3. </w:t>
      </w:r>
      <w:r>
        <w:rPr>
          <w:rFonts w:hint="eastAsia" w:ascii="仿宋_GB2312" w:hAnsi="宋体" w:eastAsia="仿宋_GB2312"/>
          <w:sz w:val="32"/>
          <w:szCs w:val="32"/>
        </w:rPr>
        <w:t>工程规模：</w:t>
      </w:r>
      <w:r>
        <w:rPr>
          <w:rFonts w:hint="eastAsia" w:ascii="仿宋_GB2312" w:hAnsi="宋体" w:eastAsia="仿宋_GB2312"/>
        </w:rPr>
        <w:t>；</w:t>
      </w:r>
    </w:p>
    <w:p w14:paraId="5923D224">
      <w:pPr>
        <w:adjustRightInd w:val="0"/>
        <w:snapToGrid w:val="0"/>
        <w:spacing w:line="360" w:lineRule="auto"/>
        <w:ind w:firstLine="633" w:firstLineChars="198"/>
        <w:rPr>
          <w:rFonts w:ascii="仿宋_GB2312" w:hAnsi="宋体" w:eastAsia="仿宋_GB2312"/>
        </w:rPr>
      </w:pPr>
      <w:r>
        <w:rPr>
          <w:rFonts w:hint="eastAsia" w:ascii="仿宋_GB2312" w:eastAsia="仿宋_GB2312"/>
          <w:sz w:val="32"/>
          <w:szCs w:val="32"/>
        </w:rPr>
        <w:t xml:space="preserve">4. </w:t>
      </w:r>
      <w:r>
        <w:rPr>
          <w:rFonts w:hint="eastAsia" w:ascii="仿宋_GB2312" w:hAnsi="宋体" w:eastAsia="仿宋_GB2312"/>
          <w:sz w:val="32"/>
          <w:szCs w:val="32"/>
        </w:rPr>
        <w:t>工程概算投资</w:t>
      </w:r>
      <w:r>
        <w:rPr>
          <w:rFonts w:hint="eastAsia" w:ascii="仿宋_GB2312" w:hAnsi="宋体" w:eastAsia="仿宋_GB2312" w:cs="宋体"/>
          <w:sz w:val="32"/>
          <w:szCs w:val="32"/>
        </w:rPr>
        <w:t>额或建筑安装工程费</w:t>
      </w:r>
      <w:r>
        <w:rPr>
          <w:rFonts w:hint="eastAsia" w:ascii="仿宋_GB2312" w:hAnsi="宋体" w:eastAsia="仿宋_GB2312"/>
          <w:sz w:val="32"/>
          <w:szCs w:val="32"/>
        </w:rPr>
        <w:t>：</w:t>
      </w:r>
      <w:r>
        <w:rPr>
          <w:rFonts w:hint="eastAsia" w:ascii="仿宋_GB2312" w:hAnsi="宋体" w:eastAsia="仿宋_GB2312"/>
          <w:sz w:val="32"/>
          <w:szCs w:val="32"/>
          <w:u w:val="single"/>
        </w:rPr>
        <w:t xml:space="preserve">  </w:t>
      </w:r>
      <w:r>
        <w:rPr>
          <w:rFonts w:hint="eastAsia" w:ascii="仿宋_GB2312" w:hAnsi="宋体" w:eastAsia="仿宋_GB2312" w:cs="Times New Roman"/>
          <w:sz w:val="32"/>
          <w:szCs w:val="32"/>
          <w:u w:val="single"/>
          <w:lang w:val="en-US"/>
        </w:rPr>
        <w:t>万元</w:t>
      </w:r>
      <w:r>
        <w:rPr>
          <w:rFonts w:hint="eastAsia" w:ascii="仿宋_GB2312" w:hAnsi="宋体" w:eastAsia="仿宋_GB2312"/>
        </w:rPr>
        <w:t>。</w:t>
      </w:r>
    </w:p>
    <w:p w14:paraId="4E418E9C">
      <w:pPr>
        <w:spacing w:line="360" w:lineRule="auto"/>
        <w:ind w:firstLine="636" w:firstLineChars="198"/>
        <w:rPr>
          <w:rFonts w:ascii="仿宋_GB2312" w:hAnsi="宋体" w:eastAsia="仿宋_GB2312"/>
          <w:b/>
          <w:sz w:val="32"/>
          <w:szCs w:val="32"/>
        </w:rPr>
      </w:pPr>
      <w:r>
        <w:rPr>
          <w:rFonts w:hint="eastAsia" w:ascii="仿宋_GB2312" w:hAnsi="宋体" w:eastAsia="仿宋_GB2312"/>
          <w:b/>
          <w:sz w:val="32"/>
          <w:szCs w:val="32"/>
        </w:rPr>
        <w:t>二、词语限定</w:t>
      </w:r>
    </w:p>
    <w:p w14:paraId="4408E737">
      <w:pPr>
        <w:adjustRightInd w:val="0"/>
        <w:snapToGrid w:val="0"/>
        <w:spacing w:line="360" w:lineRule="auto"/>
        <w:ind w:firstLine="633" w:firstLineChars="198"/>
        <w:rPr>
          <w:rFonts w:ascii="仿宋_GB2312" w:hAnsi="宋体" w:eastAsia="仿宋_GB2312"/>
          <w:sz w:val="32"/>
          <w:szCs w:val="32"/>
        </w:rPr>
      </w:pPr>
      <w:r>
        <w:rPr>
          <w:rFonts w:hint="eastAsia" w:ascii="仿宋_GB2312" w:hAnsi="宋体" w:eastAsia="仿宋_GB2312"/>
          <w:sz w:val="32"/>
          <w:szCs w:val="32"/>
        </w:rPr>
        <w:t>协议书中相关词语的含义与通用条件中的定义与解释相同。</w:t>
      </w:r>
    </w:p>
    <w:p w14:paraId="249AFC14">
      <w:pPr>
        <w:spacing w:line="360" w:lineRule="auto"/>
        <w:ind w:firstLine="636" w:firstLineChars="198"/>
        <w:rPr>
          <w:rFonts w:ascii="仿宋_GB2312" w:hAnsi="宋体" w:eastAsia="仿宋_GB2312"/>
          <w:b/>
          <w:sz w:val="32"/>
          <w:szCs w:val="32"/>
        </w:rPr>
      </w:pPr>
      <w:r>
        <w:rPr>
          <w:rFonts w:hint="eastAsia" w:ascii="仿宋_GB2312" w:hAnsi="宋体" w:eastAsia="仿宋_GB2312"/>
          <w:b/>
          <w:sz w:val="32"/>
          <w:szCs w:val="32"/>
        </w:rPr>
        <w:t>三、组成本合同的文件</w:t>
      </w:r>
    </w:p>
    <w:p w14:paraId="68C54F99">
      <w:pPr>
        <w:adjustRightInd w:val="0"/>
        <w:snapToGrid w:val="0"/>
        <w:spacing w:line="360" w:lineRule="auto"/>
        <w:ind w:firstLine="633" w:firstLineChars="198"/>
        <w:rPr>
          <w:rFonts w:ascii="仿宋_GB2312" w:eastAsia="仿宋_GB2312"/>
        </w:rPr>
      </w:pPr>
      <w:r>
        <w:rPr>
          <w:rFonts w:hint="eastAsia" w:ascii="仿宋_GB2312" w:eastAsia="仿宋_GB2312"/>
          <w:sz w:val="32"/>
          <w:szCs w:val="32"/>
        </w:rPr>
        <w:t xml:space="preserve">1. </w:t>
      </w:r>
      <w:r>
        <w:rPr>
          <w:rFonts w:hint="eastAsia" w:ascii="仿宋_GB2312" w:hAnsi="宋体" w:eastAsia="仿宋_GB2312"/>
          <w:sz w:val="32"/>
          <w:szCs w:val="32"/>
        </w:rPr>
        <w:t>协议书；</w:t>
      </w:r>
    </w:p>
    <w:p w14:paraId="748B9398">
      <w:pPr>
        <w:adjustRightInd w:val="0"/>
        <w:snapToGrid w:val="0"/>
        <w:spacing w:line="360" w:lineRule="auto"/>
        <w:ind w:firstLine="633" w:firstLineChars="198"/>
        <w:rPr>
          <w:rFonts w:ascii="仿宋_GB2312" w:hAnsi="宋体" w:eastAsia="仿宋_GB2312"/>
          <w:sz w:val="32"/>
          <w:szCs w:val="32"/>
        </w:rPr>
      </w:pPr>
      <w:r>
        <w:rPr>
          <w:rFonts w:hint="eastAsia" w:ascii="仿宋_GB2312" w:eastAsia="仿宋_GB2312"/>
          <w:sz w:val="32"/>
          <w:szCs w:val="32"/>
        </w:rPr>
        <w:t>2.</w:t>
      </w:r>
      <w:r>
        <w:rPr>
          <w:rFonts w:hint="eastAsia" w:ascii="仿宋_GB2312" w:hAnsi="宋体" w:eastAsia="仿宋_GB2312"/>
          <w:sz w:val="32"/>
          <w:szCs w:val="32"/>
        </w:rPr>
        <w:t xml:space="preserve"> 委托书（适用于非</w:t>
      </w:r>
      <w:r>
        <w:rPr>
          <w:rFonts w:hint="eastAsia" w:ascii="仿宋_GB2312" w:hAnsi="宋体" w:eastAsia="仿宋_GB2312"/>
          <w:sz w:val="32"/>
          <w:szCs w:val="32"/>
          <w:lang w:eastAsia="zh-CN"/>
        </w:rPr>
        <w:t>谈判</w:t>
      </w:r>
      <w:r>
        <w:rPr>
          <w:rFonts w:hint="eastAsia" w:ascii="仿宋_GB2312" w:hAnsi="宋体" w:eastAsia="仿宋_GB2312"/>
          <w:sz w:val="32"/>
          <w:szCs w:val="32"/>
        </w:rPr>
        <w:t>工程）；</w:t>
      </w:r>
    </w:p>
    <w:p w14:paraId="29AA2774">
      <w:pPr>
        <w:adjustRightInd w:val="0"/>
        <w:snapToGrid w:val="0"/>
        <w:spacing w:line="360" w:lineRule="auto"/>
        <w:ind w:firstLine="633" w:firstLineChars="198"/>
        <w:rPr>
          <w:rFonts w:ascii="仿宋_GB2312" w:hAnsi="宋体" w:eastAsia="仿宋_GB2312"/>
          <w:sz w:val="32"/>
          <w:szCs w:val="32"/>
        </w:rPr>
      </w:pPr>
      <w:r>
        <w:rPr>
          <w:rFonts w:hint="eastAsia" w:ascii="仿宋_GB2312" w:hAnsi="宋体" w:eastAsia="仿宋_GB2312"/>
          <w:sz w:val="32"/>
          <w:szCs w:val="32"/>
        </w:rPr>
        <w:t>3.</w:t>
      </w:r>
      <w:r>
        <w:rPr>
          <w:rFonts w:ascii="仿宋_GB2312" w:hAnsi="宋体" w:eastAsia="仿宋_GB2312"/>
          <w:sz w:val="32"/>
          <w:szCs w:val="32"/>
        </w:rPr>
        <w:t xml:space="preserve"> </w:t>
      </w:r>
      <w:r>
        <w:rPr>
          <w:rFonts w:hint="eastAsia" w:ascii="仿宋_GB2312" w:hAnsi="宋体" w:eastAsia="仿宋_GB2312"/>
          <w:sz w:val="32"/>
          <w:szCs w:val="32"/>
        </w:rPr>
        <w:t>监理与相关服务建议书（适用于非</w:t>
      </w:r>
      <w:r>
        <w:rPr>
          <w:rFonts w:hint="eastAsia" w:ascii="仿宋_GB2312" w:hAnsi="宋体" w:eastAsia="仿宋_GB2312"/>
          <w:sz w:val="32"/>
          <w:szCs w:val="32"/>
          <w:lang w:eastAsia="zh-CN"/>
        </w:rPr>
        <w:t>谈判</w:t>
      </w:r>
      <w:r>
        <w:rPr>
          <w:rFonts w:hint="eastAsia" w:ascii="仿宋_GB2312" w:hAnsi="宋体" w:eastAsia="仿宋_GB2312"/>
          <w:sz w:val="32"/>
          <w:szCs w:val="32"/>
        </w:rPr>
        <w:t>工程）；</w:t>
      </w:r>
    </w:p>
    <w:p w14:paraId="7FB86314">
      <w:pPr>
        <w:adjustRightInd w:val="0"/>
        <w:snapToGrid w:val="0"/>
        <w:spacing w:line="360" w:lineRule="auto"/>
        <w:rPr>
          <w:rFonts w:ascii="仿宋_GB2312" w:eastAsia="仿宋_GB2312"/>
          <w:sz w:val="32"/>
          <w:szCs w:val="32"/>
        </w:rPr>
      </w:pPr>
      <w:r>
        <w:rPr>
          <w:rFonts w:hint="eastAsia" w:ascii="仿宋_GB2312" w:eastAsia="仿宋_GB2312"/>
          <w:sz w:val="32"/>
          <w:szCs w:val="32"/>
        </w:rPr>
        <w:t xml:space="preserve">    4. </w:t>
      </w:r>
      <w:r>
        <w:rPr>
          <w:rFonts w:hint="eastAsia" w:ascii="仿宋_GB2312" w:hAnsi="宋体" w:eastAsia="仿宋_GB2312"/>
          <w:sz w:val="32"/>
          <w:szCs w:val="32"/>
        </w:rPr>
        <w:t>专用条件；</w:t>
      </w:r>
    </w:p>
    <w:p w14:paraId="5FBE0394">
      <w:pPr>
        <w:adjustRightInd w:val="0"/>
        <w:snapToGrid w:val="0"/>
        <w:spacing w:line="360" w:lineRule="auto"/>
        <w:ind w:firstLine="633" w:firstLineChars="198"/>
        <w:rPr>
          <w:rFonts w:ascii="仿宋_GB2312" w:eastAsia="仿宋_GB2312"/>
          <w:sz w:val="32"/>
          <w:szCs w:val="32"/>
        </w:rPr>
      </w:pPr>
      <w:r>
        <w:rPr>
          <w:rFonts w:hint="eastAsia" w:ascii="仿宋_GB2312" w:eastAsia="仿宋_GB2312"/>
          <w:sz w:val="32"/>
          <w:szCs w:val="32"/>
        </w:rPr>
        <w:t xml:space="preserve">5. </w:t>
      </w:r>
      <w:r>
        <w:rPr>
          <w:rFonts w:hint="eastAsia" w:ascii="仿宋_GB2312" w:hAnsi="宋体" w:eastAsia="仿宋_GB2312"/>
          <w:sz w:val="32"/>
          <w:szCs w:val="32"/>
        </w:rPr>
        <w:t>通用条件；</w:t>
      </w:r>
    </w:p>
    <w:p w14:paraId="179C34C9">
      <w:pPr>
        <w:adjustRightInd w:val="0"/>
        <w:snapToGrid w:val="0"/>
        <w:spacing w:line="360" w:lineRule="auto"/>
        <w:ind w:firstLine="633" w:firstLineChars="198"/>
        <w:rPr>
          <w:rFonts w:ascii="仿宋_GB2312" w:hAnsi="宋体" w:eastAsia="仿宋_GB2312"/>
        </w:rPr>
      </w:pPr>
      <w:r>
        <w:rPr>
          <w:rFonts w:hint="eastAsia" w:ascii="仿宋_GB2312" w:hAnsi="宋体" w:eastAsia="仿宋_GB2312"/>
          <w:sz w:val="32"/>
          <w:szCs w:val="32"/>
        </w:rPr>
        <w:t>本合同签订后，双方依法签订的补充协议也是本合同文件的组成部分。</w:t>
      </w:r>
    </w:p>
    <w:p w14:paraId="5EA1CBB3">
      <w:pPr>
        <w:spacing w:line="360" w:lineRule="auto"/>
        <w:ind w:firstLine="636" w:firstLineChars="198"/>
        <w:rPr>
          <w:rFonts w:ascii="仿宋_GB2312" w:hAnsi="宋体" w:eastAsia="仿宋_GB2312"/>
          <w:b/>
          <w:sz w:val="32"/>
          <w:szCs w:val="32"/>
        </w:rPr>
      </w:pPr>
      <w:r>
        <w:rPr>
          <w:rFonts w:hint="eastAsia" w:ascii="仿宋_GB2312" w:hAnsi="宋体" w:eastAsia="仿宋_GB2312"/>
          <w:b/>
          <w:sz w:val="32"/>
          <w:szCs w:val="32"/>
        </w:rPr>
        <w:t>四、总监理工程师</w:t>
      </w:r>
    </w:p>
    <w:p w14:paraId="00107337">
      <w:pPr>
        <w:adjustRightInd w:val="0"/>
        <w:snapToGrid w:val="0"/>
        <w:spacing w:line="360" w:lineRule="auto"/>
        <w:ind w:firstLine="633" w:firstLineChars="198"/>
        <w:rPr>
          <w:rFonts w:ascii="仿宋_GB2312" w:hAnsi="宋体" w:eastAsia="仿宋_GB2312"/>
          <w:sz w:val="32"/>
          <w:szCs w:val="32"/>
        </w:rPr>
      </w:pPr>
      <w:r>
        <w:rPr>
          <w:rFonts w:hint="eastAsia" w:ascii="仿宋_GB2312" w:hAnsi="宋体" w:eastAsia="仿宋_GB2312"/>
          <w:sz w:val="32"/>
          <w:szCs w:val="32"/>
        </w:rPr>
        <w:t>总监理工程师姓名：</w:t>
      </w:r>
      <w:r>
        <w:rPr>
          <w:rFonts w:hint="eastAsia" w:ascii="仿宋_GB2312" w:hAnsi="宋体" w:eastAsia="仿宋_GB2312"/>
          <w:sz w:val="32"/>
          <w:szCs w:val="32"/>
          <w:u w:val="single"/>
        </w:rPr>
        <w:t xml:space="preserve">   </w:t>
      </w:r>
      <w:r>
        <w:rPr>
          <w:rFonts w:hint="eastAsia" w:ascii="仿宋_GB2312" w:hAnsi="宋体" w:eastAsia="仿宋_GB2312"/>
          <w:sz w:val="32"/>
          <w:szCs w:val="32"/>
        </w:rPr>
        <w:t>，身份证号码：</w:t>
      </w:r>
      <w:r>
        <w:rPr>
          <w:rFonts w:hint="eastAsia" w:ascii="仿宋_GB2312" w:hAnsi="宋体" w:eastAsia="仿宋_GB2312"/>
          <w:sz w:val="32"/>
          <w:szCs w:val="32"/>
          <w:u w:val="single"/>
        </w:rPr>
        <w:t xml:space="preserve">      </w:t>
      </w:r>
      <w:r>
        <w:rPr>
          <w:rFonts w:hint="eastAsia" w:ascii="仿宋_GB2312" w:hAnsi="宋体" w:eastAsia="仿宋_GB2312"/>
          <w:sz w:val="32"/>
          <w:szCs w:val="32"/>
        </w:rPr>
        <w:t>，注册号：</w:t>
      </w:r>
      <w:r>
        <w:rPr>
          <w:rFonts w:hint="eastAsia" w:ascii="仿宋_GB2312" w:hAnsi="宋体" w:eastAsia="仿宋_GB2312"/>
          <w:sz w:val="32"/>
          <w:szCs w:val="32"/>
          <w:u w:val="single"/>
        </w:rPr>
        <w:t xml:space="preserve">     </w:t>
      </w:r>
      <w:r>
        <w:rPr>
          <w:rFonts w:hint="eastAsia" w:ascii="仿宋_GB2312" w:hAnsi="宋体" w:eastAsia="仿宋_GB2312"/>
          <w:sz w:val="32"/>
          <w:szCs w:val="32"/>
        </w:rPr>
        <w:t>。</w:t>
      </w:r>
    </w:p>
    <w:p w14:paraId="1220A8A6">
      <w:pPr>
        <w:spacing w:line="360" w:lineRule="auto"/>
        <w:ind w:firstLine="636" w:firstLineChars="198"/>
        <w:rPr>
          <w:rFonts w:ascii="仿宋_GB2312" w:hAnsi="宋体" w:eastAsia="仿宋_GB2312"/>
          <w:b/>
          <w:sz w:val="32"/>
          <w:szCs w:val="32"/>
        </w:rPr>
      </w:pPr>
      <w:r>
        <w:rPr>
          <w:rFonts w:hint="eastAsia" w:ascii="仿宋_GB2312" w:hAnsi="宋体" w:eastAsia="仿宋_GB2312"/>
          <w:b/>
          <w:sz w:val="32"/>
          <w:szCs w:val="32"/>
        </w:rPr>
        <w:t>五、签约酬金</w:t>
      </w:r>
    </w:p>
    <w:p w14:paraId="09F2AD78">
      <w:pPr>
        <w:adjustRightInd w:val="0"/>
        <w:snapToGrid w:val="0"/>
        <w:spacing w:line="360" w:lineRule="auto"/>
        <w:ind w:firstLine="633" w:firstLineChars="198"/>
        <w:rPr>
          <w:rFonts w:ascii="仿宋_GB2312" w:hAnsi="宋体" w:eastAsia="仿宋_GB2312" w:cs="Times New Roman"/>
          <w:sz w:val="32"/>
          <w:szCs w:val="32"/>
          <w:u w:val="single"/>
          <w:lang w:val="en-US"/>
        </w:rPr>
      </w:pPr>
      <w:r>
        <w:rPr>
          <w:rFonts w:hint="eastAsia" w:ascii="仿宋_GB2312" w:hAnsi="宋体" w:eastAsia="仿宋_GB2312"/>
          <w:sz w:val="32"/>
          <w:szCs w:val="32"/>
        </w:rPr>
        <w:t>签约酬金（</w:t>
      </w:r>
      <w:r>
        <w:rPr>
          <w:rFonts w:hint="eastAsia" w:ascii="仿宋_GB2312" w:hAnsi="宋体" w:eastAsia="仿宋_GB2312"/>
          <w:sz w:val="32"/>
          <w:szCs w:val="32"/>
          <w:lang w:val="en-US"/>
        </w:rPr>
        <w:t>人民币</w:t>
      </w:r>
      <w:r>
        <w:rPr>
          <w:rFonts w:hint="eastAsia" w:ascii="仿宋_GB2312" w:hAnsi="宋体" w:eastAsia="仿宋_GB2312"/>
          <w:sz w:val="32"/>
          <w:szCs w:val="32"/>
        </w:rPr>
        <w:t>大写）：</w:t>
      </w:r>
      <w:r>
        <w:rPr>
          <w:rFonts w:hint="eastAsia" w:ascii="仿宋_GB2312" w:hAnsi="宋体" w:eastAsia="仿宋_GB2312" w:cs="Times New Roman"/>
          <w:sz w:val="32"/>
          <w:szCs w:val="32"/>
          <w:u w:val="single"/>
          <w:lang w:val="en-US"/>
        </w:rPr>
        <w:t xml:space="preserve">¥ </w:t>
      </w:r>
      <w:r>
        <w:rPr>
          <w:rFonts w:hint="eastAsia" w:ascii="仿宋_GB2312" w:hAnsi="宋体" w:eastAsia="仿宋_GB2312"/>
          <w:sz w:val="32"/>
          <w:szCs w:val="32"/>
          <w:u w:val="single"/>
        </w:rPr>
        <w:t xml:space="preserve">   </w:t>
      </w:r>
      <w:r>
        <w:rPr>
          <w:rFonts w:hint="eastAsia" w:ascii="仿宋_GB2312" w:hAnsi="宋体" w:eastAsia="仿宋_GB2312" w:cs="Times New Roman"/>
          <w:sz w:val="32"/>
          <w:szCs w:val="32"/>
          <w:u w:val="single"/>
          <w:lang w:val="en-US"/>
        </w:rPr>
        <w:t>元（大写：</w:t>
      </w:r>
      <w:r>
        <w:rPr>
          <w:rFonts w:hint="eastAsia" w:ascii="仿宋_GB2312" w:hAnsi="宋体" w:eastAsia="仿宋_GB2312"/>
          <w:sz w:val="32"/>
          <w:szCs w:val="32"/>
          <w:u w:val="single"/>
        </w:rPr>
        <w:t xml:space="preserve"> </w:t>
      </w:r>
      <w:r>
        <w:rPr>
          <w:rFonts w:hint="eastAsia" w:ascii="仿宋_GB2312" w:hAnsi="宋体" w:eastAsia="仿宋_GB2312" w:cs="Times New Roman"/>
          <w:sz w:val="32"/>
          <w:szCs w:val="32"/>
          <w:u w:val="single"/>
          <w:lang w:val="en-US"/>
        </w:rPr>
        <w:t>）。</w:t>
      </w:r>
    </w:p>
    <w:p w14:paraId="3DF58877">
      <w:pPr>
        <w:adjustRightInd w:val="0"/>
        <w:snapToGrid w:val="0"/>
        <w:spacing w:line="360" w:lineRule="auto"/>
        <w:ind w:firstLine="633" w:firstLineChars="198"/>
        <w:rPr>
          <w:rFonts w:ascii="仿宋_GB2312" w:hAnsi="宋体" w:eastAsia="仿宋_GB2312"/>
          <w:sz w:val="32"/>
          <w:szCs w:val="32"/>
        </w:rPr>
      </w:pPr>
      <w:r>
        <w:rPr>
          <w:rFonts w:hint="eastAsia" w:ascii="仿宋_GB2312" w:hAnsi="宋体" w:eastAsia="仿宋_GB2312"/>
          <w:sz w:val="32"/>
          <w:szCs w:val="32"/>
        </w:rPr>
        <w:t>包括：</w:t>
      </w:r>
    </w:p>
    <w:p w14:paraId="0F810389">
      <w:pPr>
        <w:adjustRightInd w:val="0"/>
        <w:snapToGrid w:val="0"/>
        <w:spacing w:line="360" w:lineRule="auto"/>
        <w:ind w:firstLine="800" w:firstLineChars="250"/>
        <w:rPr>
          <w:rFonts w:ascii="仿宋_GB2312" w:hAnsi="宋体" w:eastAsia="仿宋_GB2312"/>
        </w:rPr>
      </w:pPr>
      <w:r>
        <w:rPr>
          <w:rFonts w:hint="eastAsia" w:ascii="仿宋_GB2312" w:eastAsia="仿宋_GB2312"/>
          <w:sz w:val="32"/>
          <w:szCs w:val="32"/>
        </w:rPr>
        <w:t xml:space="preserve">1. </w:t>
      </w:r>
      <w:r>
        <w:rPr>
          <w:rFonts w:hint="eastAsia" w:ascii="仿宋_GB2312" w:hAnsi="宋体" w:eastAsia="仿宋_GB2312"/>
          <w:sz w:val="32"/>
          <w:szCs w:val="32"/>
        </w:rPr>
        <w:t>监理酬金：</w:t>
      </w:r>
      <w:r>
        <w:rPr>
          <w:rFonts w:hint="eastAsia" w:ascii="仿宋_GB2312" w:hAnsi="宋体" w:eastAsia="仿宋_GB2312" w:cs="Times New Roman"/>
          <w:sz w:val="32"/>
          <w:szCs w:val="32"/>
          <w:u w:val="single"/>
          <w:lang w:val="en-US"/>
        </w:rPr>
        <w:t xml:space="preserve"> </w:t>
      </w:r>
      <w:r>
        <w:rPr>
          <w:rFonts w:hint="eastAsia" w:ascii="仿宋_GB2312" w:hAnsi="宋体" w:eastAsia="仿宋_GB2312"/>
          <w:sz w:val="32"/>
          <w:szCs w:val="32"/>
          <w:u w:val="single"/>
        </w:rPr>
        <w:t xml:space="preserve"> </w:t>
      </w:r>
      <w:r>
        <w:rPr>
          <w:rFonts w:hint="eastAsia" w:ascii="仿宋_GB2312" w:hAnsi="宋体" w:eastAsia="仿宋_GB2312" w:cs="Times New Roman"/>
          <w:sz w:val="32"/>
          <w:szCs w:val="32"/>
          <w:u w:val="single"/>
          <w:lang w:val="en-US"/>
        </w:rPr>
        <w:t xml:space="preserve">元 </w:t>
      </w:r>
      <w:r>
        <w:rPr>
          <w:rFonts w:hint="eastAsia" w:ascii="仿宋_GB2312" w:hAnsi="宋体" w:eastAsia="仿宋_GB2312"/>
        </w:rPr>
        <w:t>。</w:t>
      </w:r>
    </w:p>
    <w:p w14:paraId="637158E9">
      <w:pPr>
        <w:adjustRightInd w:val="0"/>
        <w:snapToGrid w:val="0"/>
        <w:spacing w:line="360" w:lineRule="auto"/>
        <w:ind w:firstLine="800" w:firstLineChars="250"/>
        <w:rPr>
          <w:rFonts w:ascii="仿宋_GB2312" w:eastAsia="仿宋_GB2312"/>
        </w:rPr>
      </w:pPr>
      <w:r>
        <w:rPr>
          <w:rFonts w:hint="eastAsia" w:ascii="仿宋_GB2312" w:eastAsia="仿宋_GB2312"/>
          <w:sz w:val="32"/>
          <w:szCs w:val="32"/>
        </w:rPr>
        <w:t xml:space="preserve">2. </w:t>
      </w:r>
      <w:r>
        <w:rPr>
          <w:rFonts w:hint="eastAsia" w:ascii="仿宋_GB2312" w:hAnsi="宋体" w:eastAsia="仿宋_GB2312"/>
          <w:sz w:val="32"/>
          <w:szCs w:val="32"/>
        </w:rPr>
        <w:t>相关服务酬金：</w:t>
      </w:r>
      <w:r>
        <w:rPr>
          <w:rFonts w:hint="eastAsia" w:ascii="仿宋_GB2312" w:eastAsia="仿宋_GB2312"/>
          <w:u w:val="single"/>
        </w:rPr>
        <w:t xml:space="preserve">  </w:t>
      </w:r>
      <w:r>
        <w:rPr>
          <w:rFonts w:hint="eastAsia" w:ascii="仿宋_GB2312" w:eastAsia="仿宋_GB2312"/>
          <w:u w:val="single"/>
          <w:lang w:val="en-US"/>
        </w:rPr>
        <w:t>/</w:t>
      </w:r>
      <w:r>
        <w:rPr>
          <w:rFonts w:hint="eastAsia" w:ascii="仿宋_GB2312" w:eastAsia="仿宋_GB2312"/>
          <w:u w:val="single"/>
        </w:rPr>
        <w:t xml:space="preserve">  </w:t>
      </w:r>
      <w:r>
        <w:rPr>
          <w:rFonts w:hint="eastAsia" w:ascii="仿宋_GB2312" w:hAnsi="宋体" w:eastAsia="仿宋_GB2312"/>
        </w:rPr>
        <w:t>。</w:t>
      </w:r>
    </w:p>
    <w:p w14:paraId="0E6CE10D">
      <w:pPr>
        <w:adjustRightInd w:val="0"/>
        <w:snapToGrid w:val="0"/>
        <w:spacing w:line="360" w:lineRule="auto"/>
        <w:ind w:firstLine="800" w:firstLineChars="250"/>
        <w:rPr>
          <w:rFonts w:ascii="仿宋_GB2312" w:eastAsia="仿宋_GB2312"/>
          <w:sz w:val="32"/>
          <w:szCs w:val="32"/>
        </w:rPr>
      </w:pPr>
      <w:r>
        <w:rPr>
          <w:rFonts w:hint="eastAsia" w:ascii="仿宋_GB2312" w:hAnsi="宋体" w:eastAsia="仿宋_GB2312"/>
          <w:sz w:val="32"/>
          <w:szCs w:val="32"/>
        </w:rPr>
        <w:t>其中：</w:t>
      </w:r>
    </w:p>
    <w:p w14:paraId="0202739D">
      <w:pPr>
        <w:adjustRightInd w:val="0"/>
        <w:snapToGrid w:val="0"/>
        <w:spacing w:line="360" w:lineRule="auto"/>
        <w:ind w:firstLine="1280" w:firstLineChars="400"/>
        <w:rPr>
          <w:rFonts w:ascii="仿宋_GB2312" w:eastAsia="仿宋_GB2312"/>
        </w:rPr>
      </w:pPr>
      <w:r>
        <w:rPr>
          <w:rFonts w:hint="eastAsia" w:ascii="仿宋_GB2312" w:hAnsi="宋体" w:eastAsia="仿宋_GB2312"/>
          <w:sz w:val="32"/>
          <w:szCs w:val="32"/>
        </w:rPr>
        <w:t>（1）勘察阶段服务酬金：</w:t>
      </w:r>
      <w:r>
        <w:rPr>
          <w:rFonts w:hint="eastAsia" w:ascii="仿宋_GB2312" w:eastAsia="仿宋_GB2312"/>
          <w:u w:val="single"/>
        </w:rPr>
        <w:t xml:space="preserve">        </w:t>
      </w:r>
      <w:r>
        <w:rPr>
          <w:rFonts w:hint="eastAsia" w:ascii="仿宋_GB2312" w:eastAsia="仿宋_GB2312"/>
          <w:u w:val="single"/>
          <w:lang w:val="en-US"/>
        </w:rPr>
        <w:t>/</w:t>
      </w:r>
      <w:r>
        <w:rPr>
          <w:rFonts w:hint="eastAsia" w:ascii="仿宋_GB2312" w:eastAsia="仿宋_GB2312"/>
          <w:u w:val="single"/>
        </w:rPr>
        <w:t xml:space="preserve">                   </w:t>
      </w:r>
      <w:r>
        <w:rPr>
          <w:rFonts w:hint="eastAsia" w:ascii="仿宋_GB2312" w:hAnsi="宋体" w:eastAsia="仿宋_GB2312"/>
        </w:rPr>
        <w:t>。</w:t>
      </w:r>
    </w:p>
    <w:p w14:paraId="3319F0E1">
      <w:pPr>
        <w:adjustRightInd w:val="0"/>
        <w:snapToGrid w:val="0"/>
        <w:spacing w:line="360" w:lineRule="auto"/>
        <w:ind w:firstLine="1280" w:firstLineChars="400"/>
        <w:rPr>
          <w:rFonts w:ascii="仿宋_GB2312" w:hAnsi="宋体" w:eastAsia="仿宋_GB2312"/>
        </w:rPr>
      </w:pPr>
      <w:r>
        <w:rPr>
          <w:rFonts w:hint="eastAsia" w:ascii="仿宋_GB2312" w:hAnsi="宋体" w:eastAsia="仿宋_GB2312"/>
          <w:sz w:val="32"/>
          <w:szCs w:val="32"/>
        </w:rPr>
        <w:t>（2）设计阶段服务酬金：</w:t>
      </w:r>
      <w:r>
        <w:rPr>
          <w:rFonts w:hint="eastAsia" w:ascii="仿宋_GB2312" w:hAnsi="宋体" w:eastAsia="仿宋_GB2312"/>
          <w:u w:val="single"/>
        </w:rPr>
        <w:t xml:space="preserve">       </w:t>
      </w:r>
      <w:r>
        <w:rPr>
          <w:rFonts w:hint="eastAsia" w:ascii="仿宋_GB2312" w:hAnsi="宋体" w:eastAsia="仿宋_GB2312"/>
          <w:u w:val="single"/>
          <w:lang w:val="en-US"/>
        </w:rPr>
        <w:t>/</w:t>
      </w:r>
      <w:r>
        <w:rPr>
          <w:rFonts w:hint="eastAsia" w:ascii="仿宋_GB2312" w:hAnsi="宋体" w:eastAsia="仿宋_GB2312"/>
          <w:u w:val="single"/>
        </w:rPr>
        <w:t xml:space="preserve">                    </w:t>
      </w:r>
      <w:r>
        <w:rPr>
          <w:rFonts w:hint="eastAsia" w:ascii="仿宋_GB2312" w:hAnsi="宋体" w:eastAsia="仿宋_GB2312"/>
        </w:rPr>
        <w:t>。</w:t>
      </w:r>
    </w:p>
    <w:p w14:paraId="053AACFA">
      <w:pPr>
        <w:adjustRightInd w:val="0"/>
        <w:snapToGrid w:val="0"/>
        <w:spacing w:line="360" w:lineRule="auto"/>
        <w:ind w:firstLine="1280" w:firstLineChars="400"/>
        <w:rPr>
          <w:rFonts w:ascii="仿宋_GB2312" w:eastAsia="仿宋_GB2312"/>
        </w:rPr>
      </w:pPr>
      <w:r>
        <w:rPr>
          <w:rFonts w:hint="eastAsia" w:ascii="仿宋_GB2312" w:hAnsi="宋体" w:eastAsia="仿宋_GB2312"/>
          <w:sz w:val="32"/>
          <w:szCs w:val="32"/>
        </w:rPr>
        <w:t>（3）保修阶段服务酬金：</w:t>
      </w:r>
      <w:r>
        <w:rPr>
          <w:rFonts w:hint="eastAsia" w:ascii="仿宋_GB2312" w:hAnsi="宋体"/>
          <w:sz w:val="32"/>
          <w:szCs w:val="32"/>
          <w:u w:val="single"/>
        </w:rPr>
        <w:t>已包含在监理酬金内</w:t>
      </w:r>
      <w:r>
        <w:rPr>
          <w:rFonts w:hint="eastAsia" w:ascii="仿宋_GB2312" w:eastAsia="仿宋_GB2312"/>
          <w:u w:val="single"/>
        </w:rPr>
        <w:t xml:space="preserve">   </w:t>
      </w:r>
      <w:r>
        <w:rPr>
          <w:rFonts w:hint="eastAsia" w:ascii="仿宋_GB2312" w:hAnsi="宋体" w:eastAsia="仿宋_GB2312"/>
        </w:rPr>
        <w:t>。</w:t>
      </w:r>
    </w:p>
    <w:p w14:paraId="370AB702">
      <w:pPr>
        <w:adjustRightInd w:val="0"/>
        <w:snapToGrid w:val="0"/>
        <w:spacing w:line="360" w:lineRule="auto"/>
        <w:ind w:firstLine="1280" w:firstLineChars="400"/>
        <w:rPr>
          <w:rFonts w:ascii="仿宋_GB2312" w:hAnsi="宋体" w:eastAsia="仿宋_GB2312"/>
        </w:rPr>
      </w:pPr>
      <w:r>
        <w:rPr>
          <w:rFonts w:hint="eastAsia" w:ascii="仿宋_GB2312" w:hAnsi="宋体" w:eastAsia="仿宋_GB2312"/>
          <w:sz w:val="32"/>
          <w:szCs w:val="32"/>
        </w:rPr>
        <w:t>（4）其他相关服务酬金：</w:t>
      </w:r>
      <w:r>
        <w:rPr>
          <w:rFonts w:hint="eastAsia" w:ascii="仿宋_GB2312" w:hAnsi="宋体" w:eastAsia="仿宋_GB2312"/>
          <w:u w:val="single"/>
        </w:rPr>
        <w:t xml:space="preserve"> </w:t>
      </w:r>
      <w:r>
        <w:rPr>
          <w:rFonts w:hint="eastAsia" w:ascii="仿宋_GB2312" w:hAnsi="宋体"/>
          <w:sz w:val="32"/>
          <w:szCs w:val="32"/>
          <w:u w:val="single"/>
        </w:rPr>
        <w:t>已包含在监理酬金内</w:t>
      </w:r>
      <w:r>
        <w:rPr>
          <w:rFonts w:hint="eastAsia" w:ascii="仿宋_GB2312" w:hAnsi="宋体" w:eastAsia="仿宋_GB2312"/>
        </w:rPr>
        <w:t>。</w:t>
      </w:r>
    </w:p>
    <w:p w14:paraId="311B8671">
      <w:pPr>
        <w:adjustRightInd w:val="0"/>
        <w:snapToGrid w:val="0"/>
        <w:spacing w:line="360" w:lineRule="auto"/>
        <w:ind w:firstLine="633" w:firstLineChars="198"/>
        <w:rPr>
          <w:rFonts w:ascii="仿宋_GB2312" w:hAnsi="宋体" w:eastAsia="仿宋_GB2312"/>
          <w:sz w:val="32"/>
          <w:szCs w:val="32"/>
        </w:rPr>
      </w:pPr>
      <w:r>
        <w:rPr>
          <w:rFonts w:hint="eastAsia" w:ascii="仿宋_GB2312" w:hAnsi="宋体" w:eastAsia="仿宋_GB2312"/>
          <w:sz w:val="32"/>
          <w:szCs w:val="32"/>
        </w:rPr>
        <w:t>本合同适用增值税税率为</w:t>
      </w:r>
      <w:r>
        <w:rPr>
          <w:rFonts w:hint="eastAsia" w:ascii="仿宋_GB2312" w:hAnsi="宋体" w:eastAsia="仿宋_GB2312"/>
          <w:color w:val="0000FF"/>
          <w:sz w:val="32"/>
          <w:szCs w:val="32"/>
          <w:u w:val="single"/>
          <w:lang w:val="en-US"/>
        </w:rPr>
        <w:t xml:space="preserve">  </w:t>
      </w:r>
      <w:r>
        <w:rPr>
          <w:rFonts w:hint="eastAsia" w:ascii="仿宋_GB2312" w:hAnsi="宋体" w:eastAsia="仿宋_GB2312"/>
          <w:color w:val="auto"/>
          <w:sz w:val="32"/>
          <w:szCs w:val="32"/>
        </w:rPr>
        <w:t>%</w:t>
      </w:r>
      <w:r>
        <w:rPr>
          <w:rFonts w:hint="eastAsia" w:ascii="仿宋_GB2312" w:hAnsi="宋体" w:eastAsia="仿宋_GB2312"/>
          <w:sz w:val="32"/>
          <w:szCs w:val="32"/>
        </w:rPr>
        <w:t>。如遇国家税率调整，本合同价款按国家新税率进行调整（本合同不含税价固定，根据新税率重新调整合同含税总价）。</w:t>
      </w:r>
    </w:p>
    <w:p w14:paraId="0801782B">
      <w:pPr>
        <w:adjustRightInd w:val="0"/>
        <w:snapToGrid w:val="0"/>
        <w:spacing w:line="360" w:lineRule="auto"/>
        <w:ind w:firstLine="960" w:firstLineChars="400"/>
        <w:rPr>
          <w:rFonts w:ascii="仿宋_GB2312" w:hAnsi="宋体" w:eastAsia="仿宋_GB2312"/>
          <w:lang w:val="en-US"/>
        </w:rPr>
      </w:pPr>
    </w:p>
    <w:p w14:paraId="3B6BB84D">
      <w:pPr>
        <w:spacing w:line="360" w:lineRule="auto"/>
        <w:ind w:firstLine="636" w:firstLineChars="198"/>
        <w:rPr>
          <w:rFonts w:ascii="仿宋_GB2312" w:hAnsi="宋体" w:eastAsia="仿宋_GB2312"/>
          <w:b/>
          <w:sz w:val="32"/>
          <w:szCs w:val="32"/>
        </w:rPr>
      </w:pPr>
      <w:r>
        <w:rPr>
          <w:rFonts w:hint="eastAsia" w:ascii="仿宋_GB2312" w:hAnsi="宋体" w:eastAsia="仿宋_GB2312"/>
          <w:b/>
          <w:sz w:val="32"/>
          <w:szCs w:val="32"/>
        </w:rPr>
        <w:t>六、期限</w:t>
      </w:r>
    </w:p>
    <w:p w14:paraId="2E8A4208">
      <w:pPr>
        <w:adjustRightInd w:val="0"/>
        <w:snapToGrid w:val="0"/>
        <w:spacing w:line="360" w:lineRule="auto"/>
        <w:ind w:firstLine="800" w:firstLineChars="250"/>
        <w:rPr>
          <w:rFonts w:ascii="仿宋_GB2312" w:eastAsia="仿宋_GB2312"/>
          <w:sz w:val="32"/>
          <w:szCs w:val="32"/>
        </w:rPr>
      </w:pPr>
      <w:r>
        <w:rPr>
          <w:rFonts w:hint="eastAsia" w:ascii="仿宋_GB2312" w:hAnsi="宋体" w:eastAsia="仿宋_GB2312"/>
          <w:sz w:val="32"/>
          <w:szCs w:val="32"/>
        </w:rPr>
        <w:t>1. 监理期限：</w:t>
      </w:r>
    </w:p>
    <w:p w14:paraId="09140181">
      <w:pPr>
        <w:adjustRightInd w:val="0"/>
        <w:snapToGrid w:val="0"/>
        <w:spacing w:line="360" w:lineRule="auto"/>
        <w:ind w:firstLine="800" w:firstLineChars="250"/>
        <w:rPr>
          <w:rFonts w:ascii="仿宋_GB2312" w:eastAsia="仿宋_GB2312"/>
          <w:sz w:val="32"/>
          <w:szCs w:val="32"/>
          <w:highlight w:val="none"/>
        </w:rPr>
      </w:pPr>
      <w:r>
        <w:rPr>
          <w:rFonts w:hint="eastAsia" w:ascii="仿宋_GB2312" w:eastAsia="仿宋_GB2312"/>
          <w:sz w:val="32"/>
          <w:szCs w:val="32"/>
          <w:highlight w:val="none"/>
        </w:rPr>
        <w:t>总工期3个月（边坡绿化提升治理施工监理服务期限2个月，破损道路提升改造施工监理服务期限1个月，阶段性监理服务），具体监理服务期限开始时间以开工令为准。</w:t>
      </w:r>
    </w:p>
    <w:p w14:paraId="5F8A681C">
      <w:pPr>
        <w:adjustRightInd w:val="0"/>
        <w:snapToGrid w:val="0"/>
        <w:spacing w:line="360" w:lineRule="auto"/>
        <w:ind w:firstLine="800" w:firstLineChars="250"/>
        <w:rPr>
          <w:rFonts w:ascii="仿宋_GB2312" w:eastAsia="仿宋_GB2312"/>
          <w:sz w:val="32"/>
          <w:szCs w:val="32"/>
        </w:rPr>
      </w:pPr>
      <w:r>
        <w:rPr>
          <w:rFonts w:hint="eastAsia" w:ascii="仿宋_GB2312" w:hAnsi="宋体" w:eastAsia="仿宋_GB2312"/>
          <w:sz w:val="32"/>
          <w:szCs w:val="32"/>
        </w:rPr>
        <w:t>2. 相关服务期限：</w:t>
      </w:r>
    </w:p>
    <w:p w14:paraId="5BC8E77E">
      <w:pPr>
        <w:adjustRightInd w:val="0"/>
        <w:snapToGrid w:val="0"/>
        <w:spacing w:line="360" w:lineRule="auto"/>
        <w:ind w:firstLine="800" w:firstLineChars="250"/>
        <w:rPr>
          <w:rFonts w:ascii="仿宋_GB2312" w:eastAsia="仿宋_GB2312"/>
          <w:sz w:val="32"/>
          <w:szCs w:val="32"/>
        </w:rPr>
      </w:pPr>
      <w:r>
        <w:rPr>
          <w:rFonts w:hint="eastAsia" w:ascii="仿宋_GB2312" w:hAnsi="宋体" w:eastAsia="仿宋_GB2312"/>
          <w:sz w:val="32"/>
          <w:szCs w:val="32"/>
        </w:rPr>
        <w:t>（1）勘察阶段服务期限自</w:t>
      </w:r>
      <w:r>
        <w:rPr>
          <w:rFonts w:hint="eastAsia" w:ascii="仿宋_GB2312" w:eastAsia="仿宋_GB2312"/>
          <w:sz w:val="32"/>
          <w:szCs w:val="32"/>
          <w:u w:val="single"/>
        </w:rPr>
        <w:t xml:space="preserve"> </w:t>
      </w:r>
      <w:r>
        <w:rPr>
          <w:rFonts w:hint="eastAsia" w:ascii="仿宋_GB2312" w:eastAsia="仿宋_GB2312"/>
          <w:sz w:val="32"/>
          <w:szCs w:val="32"/>
          <w:u w:val="single"/>
          <w:lang w:val="en-US"/>
        </w:rPr>
        <w:t>/</w:t>
      </w:r>
      <w:r>
        <w:rPr>
          <w:rFonts w:hint="eastAsia" w:ascii="仿宋_GB2312" w:eastAsia="仿宋_GB2312"/>
          <w:sz w:val="32"/>
          <w:szCs w:val="32"/>
          <w:u w:val="single"/>
        </w:rPr>
        <w:t xml:space="preserve"> </w:t>
      </w:r>
      <w:r>
        <w:rPr>
          <w:rFonts w:hint="eastAsia" w:ascii="仿宋_GB2312" w:hAnsi="宋体" w:eastAsia="仿宋_GB2312"/>
          <w:sz w:val="32"/>
          <w:szCs w:val="32"/>
        </w:rPr>
        <w:t>年</w:t>
      </w:r>
      <w:r>
        <w:rPr>
          <w:rFonts w:hint="eastAsia" w:ascii="仿宋_GB2312" w:eastAsia="仿宋_GB2312"/>
          <w:sz w:val="32"/>
          <w:szCs w:val="32"/>
          <w:u w:val="single"/>
        </w:rPr>
        <w:t xml:space="preserve"> </w:t>
      </w:r>
      <w:r>
        <w:rPr>
          <w:rFonts w:hint="eastAsia" w:ascii="仿宋_GB2312" w:eastAsia="仿宋_GB2312"/>
          <w:sz w:val="32"/>
          <w:szCs w:val="32"/>
          <w:u w:val="single"/>
          <w:lang w:val="en-US"/>
        </w:rPr>
        <w:t>/</w:t>
      </w:r>
      <w:r>
        <w:rPr>
          <w:rFonts w:hint="eastAsia" w:ascii="仿宋_GB2312" w:eastAsia="仿宋_GB2312"/>
          <w:sz w:val="32"/>
          <w:szCs w:val="32"/>
          <w:u w:val="single"/>
        </w:rPr>
        <w:t xml:space="preserve"> </w:t>
      </w:r>
      <w:r>
        <w:rPr>
          <w:rFonts w:hint="eastAsia" w:ascii="仿宋_GB2312" w:hAnsi="宋体" w:eastAsia="仿宋_GB2312"/>
          <w:sz w:val="32"/>
          <w:szCs w:val="32"/>
        </w:rPr>
        <w:t>月</w:t>
      </w:r>
      <w:r>
        <w:rPr>
          <w:rFonts w:hint="eastAsia" w:ascii="仿宋_GB2312" w:eastAsia="仿宋_GB2312"/>
          <w:sz w:val="32"/>
          <w:szCs w:val="32"/>
          <w:u w:val="single"/>
        </w:rPr>
        <w:t xml:space="preserve"> </w:t>
      </w:r>
      <w:r>
        <w:rPr>
          <w:rFonts w:hint="eastAsia" w:ascii="仿宋_GB2312" w:eastAsia="仿宋_GB2312"/>
          <w:sz w:val="32"/>
          <w:szCs w:val="32"/>
          <w:u w:val="single"/>
          <w:lang w:val="en-US"/>
        </w:rPr>
        <w:t>/</w:t>
      </w:r>
      <w:r>
        <w:rPr>
          <w:rFonts w:hint="eastAsia" w:ascii="仿宋_GB2312" w:eastAsia="仿宋_GB2312"/>
          <w:sz w:val="32"/>
          <w:szCs w:val="32"/>
          <w:u w:val="single"/>
        </w:rPr>
        <w:t xml:space="preserve"> </w:t>
      </w:r>
      <w:r>
        <w:rPr>
          <w:rFonts w:hint="eastAsia" w:ascii="仿宋_GB2312" w:hAnsi="宋体" w:eastAsia="仿宋_GB2312"/>
          <w:sz w:val="32"/>
          <w:szCs w:val="32"/>
        </w:rPr>
        <w:t>日始，至</w:t>
      </w:r>
      <w:r>
        <w:rPr>
          <w:rFonts w:hint="eastAsia" w:ascii="仿宋_GB2312" w:eastAsia="仿宋_GB2312"/>
          <w:sz w:val="32"/>
          <w:szCs w:val="32"/>
          <w:u w:val="single"/>
        </w:rPr>
        <w:t xml:space="preserve"> </w:t>
      </w:r>
      <w:r>
        <w:rPr>
          <w:rFonts w:hint="eastAsia" w:ascii="仿宋_GB2312" w:eastAsia="仿宋_GB2312"/>
          <w:sz w:val="32"/>
          <w:szCs w:val="32"/>
          <w:u w:val="single"/>
          <w:lang w:val="en-US"/>
        </w:rPr>
        <w:t>/</w:t>
      </w:r>
      <w:r>
        <w:rPr>
          <w:rFonts w:hint="eastAsia" w:ascii="仿宋_GB2312" w:eastAsia="仿宋_GB2312"/>
          <w:sz w:val="32"/>
          <w:szCs w:val="32"/>
          <w:u w:val="single"/>
        </w:rPr>
        <w:t xml:space="preserve"> </w:t>
      </w:r>
      <w:r>
        <w:rPr>
          <w:rFonts w:hint="eastAsia" w:ascii="仿宋_GB2312" w:hAnsi="宋体" w:eastAsia="仿宋_GB2312"/>
          <w:sz w:val="32"/>
          <w:szCs w:val="32"/>
        </w:rPr>
        <w:t>年</w:t>
      </w:r>
      <w:r>
        <w:rPr>
          <w:rFonts w:hint="eastAsia" w:ascii="仿宋_GB2312" w:eastAsia="仿宋_GB2312"/>
          <w:sz w:val="32"/>
          <w:szCs w:val="32"/>
          <w:u w:val="single"/>
        </w:rPr>
        <w:t xml:space="preserve"> </w:t>
      </w:r>
      <w:r>
        <w:rPr>
          <w:rFonts w:hint="eastAsia" w:ascii="仿宋_GB2312" w:eastAsia="仿宋_GB2312"/>
          <w:sz w:val="32"/>
          <w:szCs w:val="32"/>
          <w:u w:val="single"/>
          <w:lang w:val="en-US"/>
        </w:rPr>
        <w:t>/</w:t>
      </w:r>
      <w:r>
        <w:rPr>
          <w:rFonts w:hint="eastAsia" w:ascii="仿宋_GB2312" w:eastAsia="仿宋_GB2312"/>
          <w:sz w:val="32"/>
          <w:szCs w:val="32"/>
          <w:u w:val="single"/>
        </w:rPr>
        <w:t xml:space="preserve"> </w:t>
      </w:r>
      <w:r>
        <w:rPr>
          <w:rFonts w:hint="eastAsia" w:ascii="仿宋_GB2312" w:hAnsi="宋体" w:eastAsia="仿宋_GB2312"/>
          <w:sz w:val="32"/>
          <w:szCs w:val="32"/>
        </w:rPr>
        <w:t>月</w:t>
      </w:r>
      <w:r>
        <w:rPr>
          <w:rFonts w:hint="eastAsia" w:ascii="仿宋_GB2312" w:eastAsia="仿宋_GB2312"/>
          <w:sz w:val="32"/>
          <w:szCs w:val="32"/>
          <w:u w:val="single"/>
        </w:rPr>
        <w:t xml:space="preserve"> </w:t>
      </w:r>
      <w:r>
        <w:rPr>
          <w:rFonts w:hint="eastAsia" w:ascii="仿宋_GB2312" w:eastAsia="仿宋_GB2312"/>
          <w:sz w:val="32"/>
          <w:szCs w:val="32"/>
          <w:u w:val="single"/>
          <w:lang w:val="en-US"/>
        </w:rPr>
        <w:t>/</w:t>
      </w:r>
      <w:r>
        <w:rPr>
          <w:rFonts w:hint="eastAsia" w:ascii="仿宋_GB2312" w:eastAsia="仿宋_GB2312"/>
          <w:sz w:val="32"/>
          <w:szCs w:val="32"/>
          <w:u w:val="single"/>
        </w:rPr>
        <w:t xml:space="preserve"> </w:t>
      </w:r>
      <w:r>
        <w:rPr>
          <w:rFonts w:hint="eastAsia" w:ascii="仿宋_GB2312" w:hAnsi="宋体" w:eastAsia="仿宋_GB2312"/>
          <w:sz w:val="32"/>
          <w:szCs w:val="32"/>
        </w:rPr>
        <w:t>日止。</w:t>
      </w:r>
    </w:p>
    <w:p w14:paraId="4565A723">
      <w:pPr>
        <w:adjustRightInd w:val="0"/>
        <w:snapToGrid w:val="0"/>
        <w:spacing w:line="360" w:lineRule="auto"/>
        <w:ind w:firstLine="800" w:firstLineChars="250"/>
        <w:rPr>
          <w:rFonts w:ascii="仿宋_GB2312" w:eastAsia="仿宋_GB2312"/>
          <w:sz w:val="32"/>
          <w:szCs w:val="32"/>
        </w:rPr>
      </w:pPr>
      <w:r>
        <w:rPr>
          <w:rFonts w:hint="eastAsia" w:ascii="仿宋_GB2312" w:hAnsi="宋体" w:eastAsia="仿宋_GB2312"/>
          <w:sz w:val="32"/>
          <w:szCs w:val="32"/>
        </w:rPr>
        <w:t>（2）设计阶段服务期限自</w:t>
      </w:r>
      <w:r>
        <w:rPr>
          <w:rFonts w:hint="eastAsia" w:ascii="仿宋_GB2312" w:eastAsia="仿宋_GB2312"/>
          <w:sz w:val="32"/>
          <w:szCs w:val="32"/>
          <w:u w:val="single"/>
        </w:rPr>
        <w:t xml:space="preserve"> </w:t>
      </w:r>
      <w:r>
        <w:rPr>
          <w:rFonts w:hint="eastAsia" w:ascii="仿宋_GB2312" w:eastAsia="仿宋_GB2312"/>
          <w:sz w:val="32"/>
          <w:szCs w:val="32"/>
          <w:u w:val="single"/>
          <w:lang w:val="en-US"/>
        </w:rPr>
        <w:t>/</w:t>
      </w:r>
      <w:r>
        <w:rPr>
          <w:rFonts w:hint="eastAsia" w:ascii="仿宋_GB2312" w:eastAsia="仿宋_GB2312"/>
          <w:sz w:val="32"/>
          <w:szCs w:val="32"/>
          <w:u w:val="single"/>
        </w:rPr>
        <w:t xml:space="preserve"> </w:t>
      </w:r>
      <w:r>
        <w:rPr>
          <w:rFonts w:hint="eastAsia" w:ascii="仿宋_GB2312" w:hAnsi="宋体" w:eastAsia="仿宋_GB2312"/>
          <w:sz w:val="32"/>
          <w:szCs w:val="32"/>
        </w:rPr>
        <w:t>年</w:t>
      </w:r>
      <w:r>
        <w:rPr>
          <w:rFonts w:hint="eastAsia" w:ascii="仿宋_GB2312" w:eastAsia="仿宋_GB2312"/>
          <w:sz w:val="32"/>
          <w:szCs w:val="32"/>
          <w:u w:val="single"/>
        </w:rPr>
        <w:t xml:space="preserve"> </w:t>
      </w:r>
      <w:r>
        <w:rPr>
          <w:rFonts w:hint="eastAsia" w:ascii="仿宋_GB2312" w:eastAsia="仿宋_GB2312"/>
          <w:sz w:val="32"/>
          <w:szCs w:val="32"/>
          <w:u w:val="single"/>
          <w:lang w:val="en-US"/>
        </w:rPr>
        <w:t>/</w:t>
      </w:r>
      <w:r>
        <w:rPr>
          <w:rFonts w:hint="eastAsia" w:ascii="仿宋_GB2312" w:eastAsia="仿宋_GB2312"/>
          <w:sz w:val="32"/>
          <w:szCs w:val="32"/>
          <w:u w:val="single"/>
        </w:rPr>
        <w:t xml:space="preserve"> </w:t>
      </w:r>
      <w:r>
        <w:rPr>
          <w:rFonts w:hint="eastAsia" w:ascii="仿宋_GB2312" w:hAnsi="宋体" w:eastAsia="仿宋_GB2312"/>
          <w:sz w:val="32"/>
          <w:szCs w:val="32"/>
        </w:rPr>
        <w:t>月</w:t>
      </w:r>
      <w:r>
        <w:rPr>
          <w:rFonts w:hint="eastAsia" w:ascii="仿宋_GB2312" w:eastAsia="仿宋_GB2312"/>
          <w:sz w:val="32"/>
          <w:szCs w:val="32"/>
          <w:u w:val="single"/>
        </w:rPr>
        <w:t xml:space="preserve"> </w:t>
      </w:r>
      <w:r>
        <w:rPr>
          <w:rFonts w:hint="eastAsia" w:ascii="仿宋_GB2312" w:eastAsia="仿宋_GB2312"/>
          <w:sz w:val="32"/>
          <w:szCs w:val="32"/>
          <w:u w:val="single"/>
          <w:lang w:val="en-US"/>
        </w:rPr>
        <w:t>/</w:t>
      </w:r>
      <w:r>
        <w:rPr>
          <w:rFonts w:hint="eastAsia" w:ascii="仿宋_GB2312" w:eastAsia="仿宋_GB2312"/>
          <w:sz w:val="32"/>
          <w:szCs w:val="32"/>
          <w:u w:val="single"/>
        </w:rPr>
        <w:t xml:space="preserve"> </w:t>
      </w:r>
      <w:r>
        <w:rPr>
          <w:rFonts w:hint="eastAsia" w:ascii="仿宋_GB2312" w:hAnsi="宋体" w:eastAsia="仿宋_GB2312"/>
          <w:sz w:val="32"/>
          <w:szCs w:val="32"/>
        </w:rPr>
        <w:t>日始，至</w:t>
      </w:r>
      <w:r>
        <w:rPr>
          <w:rFonts w:hint="eastAsia" w:ascii="仿宋_GB2312" w:eastAsia="仿宋_GB2312"/>
          <w:sz w:val="32"/>
          <w:szCs w:val="32"/>
          <w:u w:val="single"/>
        </w:rPr>
        <w:t xml:space="preserve"> </w:t>
      </w:r>
      <w:r>
        <w:rPr>
          <w:rFonts w:hint="eastAsia" w:ascii="仿宋_GB2312" w:eastAsia="仿宋_GB2312"/>
          <w:sz w:val="32"/>
          <w:szCs w:val="32"/>
          <w:u w:val="single"/>
          <w:lang w:val="en-US"/>
        </w:rPr>
        <w:t>/</w:t>
      </w:r>
      <w:r>
        <w:rPr>
          <w:rFonts w:hint="eastAsia" w:ascii="仿宋_GB2312" w:eastAsia="仿宋_GB2312"/>
          <w:sz w:val="32"/>
          <w:szCs w:val="32"/>
          <w:u w:val="single"/>
        </w:rPr>
        <w:t xml:space="preserve"> </w:t>
      </w:r>
      <w:r>
        <w:rPr>
          <w:rFonts w:hint="eastAsia" w:ascii="仿宋_GB2312" w:hAnsi="宋体" w:eastAsia="仿宋_GB2312"/>
          <w:sz w:val="32"/>
          <w:szCs w:val="32"/>
        </w:rPr>
        <w:t>年</w:t>
      </w:r>
      <w:r>
        <w:rPr>
          <w:rFonts w:hint="eastAsia" w:ascii="仿宋_GB2312" w:eastAsia="仿宋_GB2312"/>
          <w:sz w:val="32"/>
          <w:szCs w:val="32"/>
          <w:u w:val="single"/>
        </w:rPr>
        <w:t xml:space="preserve"> </w:t>
      </w:r>
      <w:r>
        <w:rPr>
          <w:rFonts w:hint="eastAsia" w:ascii="仿宋_GB2312" w:eastAsia="仿宋_GB2312"/>
          <w:sz w:val="32"/>
          <w:szCs w:val="32"/>
          <w:u w:val="single"/>
          <w:lang w:val="en-US"/>
        </w:rPr>
        <w:t>/</w:t>
      </w:r>
      <w:r>
        <w:rPr>
          <w:rFonts w:hint="eastAsia" w:ascii="仿宋_GB2312" w:eastAsia="仿宋_GB2312"/>
          <w:sz w:val="32"/>
          <w:szCs w:val="32"/>
          <w:u w:val="single"/>
        </w:rPr>
        <w:t xml:space="preserve"> </w:t>
      </w:r>
      <w:r>
        <w:rPr>
          <w:rFonts w:hint="eastAsia" w:ascii="仿宋_GB2312" w:hAnsi="宋体" w:eastAsia="仿宋_GB2312"/>
          <w:sz w:val="32"/>
          <w:szCs w:val="32"/>
        </w:rPr>
        <w:t>月</w:t>
      </w:r>
      <w:r>
        <w:rPr>
          <w:rFonts w:hint="eastAsia" w:ascii="仿宋_GB2312" w:eastAsia="仿宋_GB2312"/>
          <w:sz w:val="32"/>
          <w:szCs w:val="32"/>
          <w:u w:val="single"/>
        </w:rPr>
        <w:t xml:space="preserve"> </w:t>
      </w:r>
      <w:r>
        <w:rPr>
          <w:rFonts w:hint="eastAsia" w:ascii="仿宋_GB2312" w:eastAsia="仿宋_GB2312"/>
          <w:sz w:val="32"/>
          <w:szCs w:val="32"/>
          <w:u w:val="single"/>
          <w:lang w:val="en-US"/>
        </w:rPr>
        <w:t>/</w:t>
      </w:r>
      <w:r>
        <w:rPr>
          <w:rFonts w:hint="eastAsia" w:ascii="仿宋_GB2312" w:eastAsia="仿宋_GB2312"/>
          <w:sz w:val="32"/>
          <w:szCs w:val="32"/>
          <w:u w:val="single"/>
        </w:rPr>
        <w:t xml:space="preserve"> </w:t>
      </w:r>
      <w:r>
        <w:rPr>
          <w:rFonts w:hint="eastAsia" w:ascii="仿宋_GB2312" w:hAnsi="宋体" w:eastAsia="仿宋_GB2312"/>
          <w:sz w:val="32"/>
          <w:szCs w:val="32"/>
        </w:rPr>
        <w:t>日止。</w:t>
      </w:r>
    </w:p>
    <w:p w14:paraId="67C9C5CD">
      <w:pPr>
        <w:adjustRightInd w:val="0"/>
        <w:snapToGrid w:val="0"/>
        <w:spacing w:line="360" w:lineRule="auto"/>
        <w:ind w:firstLine="800" w:firstLineChars="250"/>
        <w:rPr>
          <w:rFonts w:ascii="仿宋_GB2312" w:eastAsia="仿宋_GB2312"/>
          <w:sz w:val="32"/>
          <w:szCs w:val="32"/>
        </w:rPr>
      </w:pPr>
      <w:r>
        <w:rPr>
          <w:rFonts w:hint="eastAsia" w:ascii="仿宋_GB2312" w:hAnsi="宋体" w:eastAsia="仿宋_GB2312"/>
          <w:sz w:val="32"/>
          <w:szCs w:val="32"/>
        </w:rPr>
        <w:t>（3）保修阶段（缺陷责任期）服务期限自</w:t>
      </w:r>
      <w:r>
        <w:rPr>
          <w:rFonts w:hint="eastAsia" w:ascii="仿宋_GB2312" w:eastAsia="仿宋_GB2312"/>
          <w:sz w:val="32"/>
          <w:szCs w:val="32"/>
          <w:u w:val="single"/>
          <w:lang w:val="en-US"/>
        </w:rPr>
        <w:t>工程验收合格后壹年</w:t>
      </w:r>
      <w:r>
        <w:rPr>
          <w:rFonts w:hint="eastAsia" w:ascii="仿宋_GB2312" w:hAnsi="宋体" w:eastAsia="仿宋_GB2312"/>
          <w:sz w:val="32"/>
          <w:szCs w:val="32"/>
        </w:rPr>
        <w:t>。</w:t>
      </w:r>
    </w:p>
    <w:p w14:paraId="42B62C61">
      <w:pPr>
        <w:adjustRightInd w:val="0"/>
        <w:snapToGrid w:val="0"/>
        <w:spacing w:line="360" w:lineRule="auto"/>
        <w:ind w:firstLine="800" w:firstLineChars="250"/>
        <w:rPr>
          <w:rFonts w:ascii="仿宋_GB2312" w:eastAsia="仿宋_GB2312"/>
          <w:sz w:val="32"/>
          <w:szCs w:val="32"/>
        </w:rPr>
      </w:pPr>
      <w:r>
        <w:rPr>
          <w:rFonts w:hint="eastAsia" w:ascii="仿宋_GB2312" w:hAnsi="宋体" w:eastAsia="仿宋_GB2312"/>
          <w:sz w:val="32"/>
          <w:szCs w:val="32"/>
        </w:rPr>
        <w:t>（4）其他相关服务期限自</w:t>
      </w:r>
      <w:r>
        <w:rPr>
          <w:rFonts w:hint="eastAsia" w:ascii="仿宋_GB2312" w:eastAsia="仿宋_GB2312"/>
          <w:sz w:val="32"/>
          <w:szCs w:val="32"/>
          <w:u w:val="single"/>
        </w:rPr>
        <w:t xml:space="preserve"> </w:t>
      </w:r>
      <w:r>
        <w:rPr>
          <w:rFonts w:hint="eastAsia" w:ascii="仿宋_GB2312" w:eastAsia="仿宋_GB2312"/>
          <w:sz w:val="32"/>
          <w:szCs w:val="32"/>
          <w:u w:val="single"/>
          <w:lang w:val="en-US"/>
        </w:rPr>
        <w:t>/</w:t>
      </w:r>
      <w:r>
        <w:rPr>
          <w:rFonts w:hint="eastAsia" w:ascii="仿宋_GB2312" w:eastAsia="仿宋_GB2312"/>
          <w:sz w:val="32"/>
          <w:szCs w:val="32"/>
          <w:u w:val="single"/>
        </w:rPr>
        <w:t xml:space="preserve"> </w:t>
      </w:r>
      <w:r>
        <w:rPr>
          <w:rFonts w:hint="eastAsia" w:ascii="仿宋_GB2312" w:hAnsi="宋体" w:eastAsia="仿宋_GB2312"/>
          <w:sz w:val="32"/>
          <w:szCs w:val="32"/>
        </w:rPr>
        <w:t>年</w:t>
      </w:r>
      <w:r>
        <w:rPr>
          <w:rFonts w:hint="eastAsia" w:ascii="仿宋_GB2312" w:eastAsia="仿宋_GB2312"/>
          <w:sz w:val="32"/>
          <w:szCs w:val="32"/>
          <w:u w:val="single"/>
        </w:rPr>
        <w:t xml:space="preserve"> </w:t>
      </w:r>
      <w:r>
        <w:rPr>
          <w:rFonts w:hint="eastAsia" w:ascii="仿宋_GB2312" w:eastAsia="仿宋_GB2312"/>
          <w:sz w:val="32"/>
          <w:szCs w:val="32"/>
          <w:u w:val="single"/>
          <w:lang w:val="en-US"/>
        </w:rPr>
        <w:t>/</w:t>
      </w:r>
      <w:r>
        <w:rPr>
          <w:rFonts w:hint="eastAsia" w:ascii="仿宋_GB2312" w:eastAsia="仿宋_GB2312"/>
          <w:sz w:val="32"/>
          <w:szCs w:val="32"/>
          <w:u w:val="single"/>
        </w:rPr>
        <w:t xml:space="preserve"> </w:t>
      </w:r>
      <w:r>
        <w:rPr>
          <w:rFonts w:hint="eastAsia" w:ascii="仿宋_GB2312" w:hAnsi="宋体" w:eastAsia="仿宋_GB2312"/>
          <w:sz w:val="32"/>
          <w:szCs w:val="32"/>
        </w:rPr>
        <w:t>月</w:t>
      </w:r>
      <w:r>
        <w:rPr>
          <w:rFonts w:hint="eastAsia" w:ascii="仿宋_GB2312" w:eastAsia="仿宋_GB2312"/>
          <w:sz w:val="32"/>
          <w:szCs w:val="32"/>
          <w:u w:val="single"/>
        </w:rPr>
        <w:t xml:space="preserve"> </w:t>
      </w:r>
      <w:r>
        <w:rPr>
          <w:rFonts w:hint="eastAsia" w:ascii="仿宋_GB2312" w:eastAsia="仿宋_GB2312"/>
          <w:sz w:val="32"/>
          <w:szCs w:val="32"/>
          <w:u w:val="single"/>
          <w:lang w:val="en-US"/>
        </w:rPr>
        <w:t>/</w:t>
      </w:r>
      <w:r>
        <w:rPr>
          <w:rFonts w:hint="eastAsia" w:ascii="仿宋_GB2312" w:eastAsia="仿宋_GB2312"/>
          <w:sz w:val="32"/>
          <w:szCs w:val="32"/>
          <w:u w:val="single"/>
        </w:rPr>
        <w:t xml:space="preserve"> </w:t>
      </w:r>
      <w:r>
        <w:rPr>
          <w:rFonts w:hint="eastAsia" w:ascii="仿宋_GB2312" w:hAnsi="宋体" w:eastAsia="仿宋_GB2312"/>
          <w:sz w:val="32"/>
          <w:szCs w:val="32"/>
        </w:rPr>
        <w:t>日始，至</w:t>
      </w:r>
      <w:r>
        <w:rPr>
          <w:rFonts w:hint="eastAsia" w:ascii="仿宋_GB2312" w:eastAsia="仿宋_GB2312"/>
          <w:sz w:val="32"/>
          <w:szCs w:val="32"/>
          <w:u w:val="single"/>
        </w:rPr>
        <w:t xml:space="preserve"> </w:t>
      </w:r>
      <w:r>
        <w:rPr>
          <w:rFonts w:hint="eastAsia" w:ascii="仿宋_GB2312" w:eastAsia="仿宋_GB2312"/>
          <w:sz w:val="32"/>
          <w:szCs w:val="32"/>
          <w:u w:val="single"/>
          <w:lang w:val="en-US"/>
        </w:rPr>
        <w:t>/</w:t>
      </w:r>
      <w:r>
        <w:rPr>
          <w:rFonts w:hint="eastAsia" w:ascii="仿宋_GB2312" w:eastAsia="仿宋_GB2312"/>
          <w:sz w:val="32"/>
          <w:szCs w:val="32"/>
          <w:u w:val="single"/>
        </w:rPr>
        <w:t xml:space="preserve"> </w:t>
      </w:r>
      <w:r>
        <w:rPr>
          <w:rFonts w:hint="eastAsia" w:ascii="仿宋_GB2312" w:hAnsi="宋体" w:eastAsia="仿宋_GB2312"/>
          <w:sz w:val="32"/>
          <w:szCs w:val="32"/>
        </w:rPr>
        <w:t>年</w:t>
      </w:r>
      <w:r>
        <w:rPr>
          <w:rFonts w:hint="eastAsia" w:ascii="仿宋_GB2312" w:eastAsia="仿宋_GB2312"/>
          <w:sz w:val="32"/>
          <w:szCs w:val="32"/>
          <w:u w:val="single"/>
        </w:rPr>
        <w:t xml:space="preserve"> </w:t>
      </w:r>
      <w:r>
        <w:rPr>
          <w:rFonts w:hint="eastAsia" w:ascii="仿宋_GB2312" w:eastAsia="仿宋_GB2312"/>
          <w:sz w:val="32"/>
          <w:szCs w:val="32"/>
          <w:u w:val="single"/>
          <w:lang w:val="en-US"/>
        </w:rPr>
        <w:t>/</w:t>
      </w:r>
      <w:r>
        <w:rPr>
          <w:rFonts w:hint="eastAsia" w:ascii="仿宋_GB2312" w:eastAsia="仿宋_GB2312"/>
          <w:sz w:val="32"/>
          <w:szCs w:val="32"/>
          <w:u w:val="single"/>
        </w:rPr>
        <w:t xml:space="preserve"> </w:t>
      </w:r>
      <w:r>
        <w:rPr>
          <w:rFonts w:hint="eastAsia" w:ascii="仿宋_GB2312" w:hAnsi="宋体" w:eastAsia="仿宋_GB2312"/>
          <w:sz w:val="32"/>
          <w:szCs w:val="32"/>
        </w:rPr>
        <w:t>月</w:t>
      </w:r>
      <w:r>
        <w:rPr>
          <w:rFonts w:hint="eastAsia" w:ascii="仿宋_GB2312" w:eastAsia="仿宋_GB2312"/>
          <w:sz w:val="32"/>
          <w:szCs w:val="32"/>
          <w:u w:val="single"/>
        </w:rPr>
        <w:t xml:space="preserve"> </w:t>
      </w:r>
      <w:r>
        <w:rPr>
          <w:rFonts w:hint="eastAsia" w:ascii="仿宋_GB2312" w:eastAsia="仿宋_GB2312"/>
          <w:sz w:val="32"/>
          <w:szCs w:val="32"/>
          <w:u w:val="single"/>
          <w:lang w:val="en-US"/>
        </w:rPr>
        <w:t>/</w:t>
      </w:r>
      <w:r>
        <w:rPr>
          <w:rFonts w:hint="eastAsia" w:ascii="仿宋_GB2312" w:eastAsia="仿宋_GB2312"/>
          <w:sz w:val="32"/>
          <w:szCs w:val="32"/>
          <w:u w:val="single"/>
        </w:rPr>
        <w:t xml:space="preserve"> </w:t>
      </w:r>
      <w:r>
        <w:rPr>
          <w:rFonts w:hint="eastAsia" w:ascii="仿宋_GB2312" w:hAnsi="宋体" w:eastAsia="仿宋_GB2312"/>
          <w:sz w:val="32"/>
          <w:szCs w:val="32"/>
        </w:rPr>
        <w:t>日止。</w:t>
      </w:r>
    </w:p>
    <w:p w14:paraId="61D15616">
      <w:pPr>
        <w:spacing w:line="360" w:lineRule="auto"/>
        <w:ind w:firstLine="636" w:firstLineChars="198"/>
        <w:rPr>
          <w:rFonts w:ascii="仿宋_GB2312" w:hAnsi="宋体" w:eastAsia="仿宋_GB2312"/>
          <w:b/>
          <w:sz w:val="32"/>
          <w:szCs w:val="32"/>
        </w:rPr>
      </w:pPr>
      <w:r>
        <w:rPr>
          <w:rFonts w:hint="eastAsia" w:ascii="仿宋_GB2312" w:hAnsi="宋体" w:eastAsia="仿宋_GB2312"/>
          <w:b/>
          <w:sz w:val="32"/>
          <w:szCs w:val="32"/>
        </w:rPr>
        <w:t>七、双方承诺</w:t>
      </w:r>
    </w:p>
    <w:p w14:paraId="36E06375">
      <w:pPr>
        <w:spacing w:line="360" w:lineRule="auto"/>
        <w:ind w:firstLine="633" w:firstLineChars="198"/>
        <w:rPr>
          <w:rFonts w:ascii="仿宋_GB2312" w:hAnsi="宋体" w:eastAsia="仿宋_GB2312"/>
          <w:b/>
          <w:sz w:val="32"/>
          <w:szCs w:val="32"/>
        </w:rPr>
      </w:pPr>
      <w:r>
        <w:rPr>
          <w:rFonts w:hint="eastAsia" w:ascii="仿宋_GB2312" w:eastAsia="仿宋_GB2312"/>
          <w:sz w:val="32"/>
          <w:szCs w:val="32"/>
        </w:rPr>
        <w:t xml:space="preserve">1. </w:t>
      </w:r>
      <w:r>
        <w:rPr>
          <w:rFonts w:hint="eastAsia" w:ascii="仿宋_GB2312" w:hAnsi="宋体" w:eastAsia="仿宋_GB2312"/>
          <w:sz w:val="32"/>
          <w:szCs w:val="32"/>
        </w:rPr>
        <w:t>监理人向委托人承诺，按照本合同约定提供监理与相关服务。</w:t>
      </w:r>
    </w:p>
    <w:p w14:paraId="595454B2">
      <w:pPr>
        <w:spacing w:line="360" w:lineRule="auto"/>
        <w:ind w:firstLine="633" w:firstLineChars="198"/>
        <w:rPr>
          <w:rFonts w:ascii="仿宋_GB2312" w:hAnsi="宋体" w:eastAsia="仿宋_GB2312"/>
          <w:sz w:val="32"/>
          <w:szCs w:val="32"/>
        </w:rPr>
      </w:pPr>
      <w:r>
        <w:rPr>
          <w:rFonts w:hint="eastAsia" w:ascii="仿宋_GB2312" w:eastAsia="仿宋_GB2312"/>
          <w:sz w:val="32"/>
          <w:szCs w:val="32"/>
        </w:rPr>
        <w:t xml:space="preserve">2. </w:t>
      </w:r>
      <w:r>
        <w:rPr>
          <w:rFonts w:hint="eastAsia" w:ascii="仿宋_GB2312" w:hAnsi="宋体" w:eastAsia="仿宋_GB2312"/>
          <w:sz w:val="32"/>
          <w:szCs w:val="32"/>
        </w:rPr>
        <w:t>委托人向监理人承诺，按照本合同约定派遣相应的人员，提供</w:t>
      </w:r>
      <w:r>
        <w:rPr>
          <w:rFonts w:hint="eastAsia" w:ascii="仿宋_GB2312" w:hAnsi="宋体" w:eastAsia="仿宋_GB2312"/>
          <w:bCs/>
          <w:sz w:val="32"/>
          <w:szCs w:val="32"/>
        </w:rPr>
        <w:t>房屋、资料</w:t>
      </w:r>
      <w:r>
        <w:rPr>
          <w:rFonts w:hint="eastAsia" w:ascii="仿宋_GB2312" w:hAnsi="宋体" w:eastAsia="仿宋_GB2312"/>
          <w:sz w:val="32"/>
          <w:szCs w:val="32"/>
        </w:rPr>
        <w:t>、设备，并按本合同约定支付酬金。</w:t>
      </w:r>
    </w:p>
    <w:p w14:paraId="13421EA9">
      <w:pPr>
        <w:spacing w:line="360" w:lineRule="auto"/>
        <w:ind w:firstLine="636" w:firstLineChars="198"/>
        <w:rPr>
          <w:rFonts w:ascii="仿宋_GB2312" w:hAnsi="宋体" w:eastAsia="仿宋_GB2312"/>
          <w:b/>
          <w:sz w:val="32"/>
          <w:szCs w:val="32"/>
        </w:rPr>
      </w:pPr>
      <w:r>
        <w:rPr>
          <w:rFonts w:hint="eastAsia" w:ascii="仿宋_GB2312" w:hAnsi="宋体" w:eastAsia="仿宋_GB2312"/>
          <w:b/>
          <w:sz w:val="32"/>
          <w:szCs w:val="32"/>
        </w:rPr>
        <w:t>八、合同订立</w:t>
      </w:r>
    </w:p>
    <w:p w14:paraId="6A9F05BF">
      <w:pPr>
        <w:adjustRightInd w:val="0"/>
        <w:snapToGrid w:val="0"/>
        <w:spacing w:line="360" w:lineRule="auto"/>
        <w:ind w:firstLine="633" w:firstLineChars="198"/>
        <w:rPr>
          <w:rFonts w:ascii="仿宋_GB2312" w:eastAsia="仿宋_GB2312"/>
          <w:sz w:val="32"/>
          <w:szCs w:val="32"/>
          <w:highlight w:val="none"/>
        </w:rPr>
      </w:pPr>
      <w:r>
        <w:rPr>
          <w:rFonts w:hint="eastAsia" w:ascii="仿宋_GB2312" w:eastAsia="仿宋_GB2312"/>
          <w:sz w:val="32"/>
          <w:szCs w:val="32"/>
        </w:rPr>
        <w:t xml:space="preserve">1. </w:t>
      </w:r>
      <w:r>
        <w:rPr>
          <w:rFonts w:hint="eastAsia" w:ascii="仿宋_GB2312" w:hAnsi="宋体" w:eastAsia="仿宋_GB2312"/>
          <w:sz w:val="32"/>
          <w:szCs w:val="32"/>
        </w:rPr>
        <w:t>订立时间</w:t>
      </w:r>
      <w:r>
        <w:rPr>
          <w:rFonts w:hint="eastAsia" w:ascii="仿宋_GB2312" w:hAnsi="宋体" w:eastAsia="仿宋_GB2312"/>
          <w:sz w:val="32"/>
          <w:szCs w:val="32"/>
          <w:highlight w:val="none"/>
        </w:rPr>
        <w:t>：</w:t>
      </w:r>
      <w:r>
        <w:rPr>
          <w:rFonts w:hint="eastAsia" w:ascii="仿宋_GB2312" w:eastAsia="仿宋_GB2312"/>
          <w:sz w:val="32"/>
          <w:szCs w:val="32"/>
          <w:highlight w:val="none"/>
          <w:u w:val="single"/>
        </w:rPr>
        <w:t xml:space="preserve"> </w:t>
      </w:r>
      <w:r>
        <w:rPr>
          <w:rFonts w:hint="eastAsia" w:ascii="仿宋_GB2312" w:eastAsia="仿宋_GB2312"/>
          <w:sz w:val="32"/>
          <w:szCs w:val="32"/>
          <w:highlight w:val="none"/>
          <w:u w:val="single"/>
          <w:lang w:val="en-US"/>
        </w:rPr>
        <w:t>2026</w:t>
      </w:r>
      <w:r>
        <w:rPr>
          <w:rFonts w:hint="eastAsia" w:ascii="仿宋_GB2312" w:eastAsia="仿宋_GB2312"/>
          <w:sz w:val="32"/>
          <w:szCs w:val="32"/>
          <w:highlight w:val="none"/>
          <w:u w:val="single"/>
        </w:rPr>
        <w:t xml:space="preserve">   </w:t>
      </w:r>
      <w:r>
        <w:rPr>
          <w:rFonts w:hint="eastAsia" w:ascii="仿宋_GB2312" w:hAnsi="宋体" w:eastAsia="仿宋_GB2312"/>
          <w:sz w:val="32"/>
          <w:szCs w:val="32"/>
          <w:highlight w:val="none"/>
        </w:rPr>
        <w:t>年</w:t>
      </w:r>
      <w:r>
        <w:rPr>
          <w:rFonts w:hint="eastAsia" w:ascii="仿宋_GB2312" w:eastAsia="仿宋_GB2312"/>
          <w:sz w:val="32"/>
          <w:szCs w:val="32"/>
          <w:highlight w:val="none"/>
          <w:u w:val="single"/>
        </w:rPr>
        <w:t xml:space="preserve">    </w:t>
      </w:r>
      <w:r>
        <w:rPr>
          <w:rFonts w:hint="eastAsia" w:ascii="仿宋_GB2312" w:hAnsi="宋体" w:eastAsia="仿宋_GB2312"/>
          <w:sz w:val="32"/>
          <w:szCs w:val="32"/>
          <w:highlight w:val="none"/>
        </w:rPr>
        <w:t>月</w:t>
      </w:r>
      <w:r>
        <w:rPr>
          <w:rFonts w:hint="eastAsia" w:ascii="仿宋_GB2312" w:eastAsia="仿宋_GB2312"/>
          <w:sz w:val="32"/>
          <w:szCs w:val="32"/>
          <w:highlight w:val="none"/>
          <w:u w:val="single"/>
        </w:rPr>
        <w:t xml:space="preserve">    </w:t>
      </w:r>
      <w:r>
        <w:rPr>
          <w:rFonts w:hint="eastAsia" w:ascii="仿宋_GB2312" w:hAnsi="宋体" w:eastAsia="仿宋_GB2312"/>
          <w:sz w:val="32"/>
          <w:szCs w:val="32"/>
          <w:highlight w:val="none"/>
        </w:rPr>
        <w:t>日。</w:t>
      </w:r>
    </w:p>
    <w:p w14:paraId="71AC4DBF">
      <w:pPr>
        <w:adjustRightInd w:val="0"/>
        <w:snapToGrid w:val="0"/>
        <w:spacing w:line="360" w:lineRule="auto"/>
        <w:ind w:firstLine="633" w:firstLineChars="198"/>
        <w:rPr>
          <w:rFonts w:ascii="仿宋_GB2312" w:eastAsia="仿宋_GB2312"/>
          <w:sz w:val="32"/>
          <w:szCs w:val="32"/>
        </w:rPr>
      </w:pPr>
      <w:r>
        <w:rPr>
          <w:rFonts w:hint="eastAsia" w:ascii="仿宋_GB2312" w:eastAsia="仿宋_GB2312"/>
          <w:sz w:val="32"/>
          <w:szCs w:val="32"/>
        </w:rPr>
        <w:t xml:space="preserve">2. </w:t>
      </w:r>
      <w:r>
        <w:rPr>
          <w:rFonts w:hint="eastAsia" w:ascii="仿宋_GB2312" w:hAnsi="宋体" w:eastAsia="仿宋_GB2312"/>
          <w:sz w:val="32"/>
          <w:szCs w:val="32"/>
        </w:rPr>
        <w:t>订立地点：</w:t>
      </w:r>
      <w:r>
        <w:rPr>
          <w:rFonts w:hint="eastAsia" w:ascii="仿宋_GB2312" w:eastAsia="仿宋_GB2312"/>
          <w:sz w:val="32"/>
          <w:szCs w:val="32"/>
          <w:u w:val="single"/>
        </w:rPr>
        <w:t xml:space="preserve">    </w:t>
      </w:r>
      <w:r>
        <w:rPr>
          <w:rFonts w:hint="eastAsia" w:ascii="仿宋_GB2312" w:hAnsi="宋体" w:eastAsia="仿宋_GB2312"/>
          <w:sz w:val="32"/>
          <w:szCs w:val="32"/>
        </w:rPr>
        <w:t>。</w:t>
      </w:r>
    </w:p>
    <w:p w14:paraId="7A2F7EA9">
      <w:pPr>
        <w:adjustRightInd w:val="0"/>
        <w:snapToGrid w:val="0"/>
        <w:spacing w:line="360" w:lineRule="auto"/>
        <w:ind w:left="722" w:leftChars="301"/>
        <w:rPr>
          <w:rFonts w:ascii="仿宋_GB2312" w:hAnsi="宋体" w:eastAsia="仿宋_GB2312"/>
          <w:sz w:val="32"/>
          <w:szCs w:val="32"/>
        </w:rPr>
      </w:pPr>
      <w:r>
        <w:rPr>
          <w:rFonts w:hint="eastAsia" w:ascii="仿宋_GB2312" w:eastAsia="仿宋_GB2312"/>
          <w:sz w:val="32"/>
          <w:szCs w:val="32"/>
        </w:rPr>
        <w:t xml:space="preserve">3. </w:t>
      </w:r>
      <w:r>
        <w:rPr>
          <w:rFonts w:hint="eastAsia" w:ascii="仿宋_GB2312" w:hAnsi="宋体" w:eastAsia="仿宋_GB2312"/>
          <w:sz w:val="32"/>
          <w:szCs w:val="32"/>
        </w:rPr>
        <w:t>本合同一式</w:t>
      </w:r>
      <w:r>
        <w:rPr>
          <w:rFonts w:hint="eastAsia" w:ascii="仿宋_GB2312" w:hAnsi="宋体" w:eastAsia="仿宋_GB2312"/>
          <w:sz w:val="32"/>
          <w:szCs w:val="32"/>
          <w:u w:val="single"/>
        </w:rPr>
        <w:t xml:space="preserve"> 8 </w:t>
      </w:r>
      <w:r>
        <w:rPr>
          <w:rFonts w:hint="eastAsia" w:ascii="仿宋_GB2312" w:hAnsi="宋体" w:eastAsia="仿宋_GB2312"/>
          <w:sz w:val="32"/>
          <w:szCs w:val="32"/>
        </w:rPr>
        <w:t>份，具有同等法律效力，委托人执</w:t>
      </w:r>
      <w:r>
        <w:rPr>
          <w:rFonts w:hint="eastAsia" w:ascii="仿宋_GB2312" w:eastAsia="仿宋_GB2312"/>
          <w:sz w:val="32"/>
          <w:szCs w:val="32"/>
          <w:u w:val="single"/>
        </w:rPr>
        <w:t xml:space="preserve"> 6 </w:t>
      </w:r>
      <w:r>
        <w:rPr>
          <w:rFonts w:hint="eastAsia" w:ascii="仿宋_GB2312" w:hAnsi="宋体" w:eastAsia="仿宋_GB2312"/>
          <w:sz w:val="32"/>
          <w:szCs w:val="32"/>
        </w:rPr>
        <w:t>份，监理人执</w:t>
      </w:r>
      <w:r>
        <w:rPr>
          <w:rFonts w:ascii="仿宋_GB2312" w:hAnsi="宋体" w:eastAsia="仿宋_GB2312"/>
          <w:sz w:val="32"/>
          <w:szCs w:val="32"/>
          <w:u w:val="single"/>
        </w:rPr>
        <w:t xml:space="preserve"> </w:t>
      </w:r>
      <w:r>
        <w:rPr>
          <w:rFonts w:hint="eastAsia" w:ascii="仿宋_GB2312" w:hAnsi="宋体" w:eastAsia="仿宋_GB2312"/>
          <w:sz w:val="32"/>
          <w:szCs w:val="32"/>
          <w:u w:val="single"/>
        </w:rPr>
        <w:t xml:space="preserve">2  </w:t>
      </w:r>
      <w:r>
        <w:rPr>
          <w:rFonts w:ascii="仿宋_GB2312" w:hAnsi="宋体" w:eastAsia="仿宋_GB2312"/>
          <w:sz w:val="32"/>
          <w:szCs w:val="32"/>
          <w:u w:val="single"/>
        </w:rPr>
        <w:t xml:space="preserve"> </w:t>
      </w:r>
      <w:r>
        <w:rPr>
          <w:rFonts w:hint="eastAsia" w:ascii="仿宋_GB2312" w:hAnsi="宋体" w:eastAsia="仿宋_GB2312"/>
          <w:sz w:val="32"/>
          <w:szCs w:val="32"/>
        </w:rPr>
        <w:t>份。</w:t>
      </w:r>
    </w:p>
    <w:p w14:paraId="0B1B175A">
      <w:pPr>
        <w:adjustRightInd w:val="0"/>
        <w:snapToGrid w:val="0"/>
        <w:spacing w:line="360" w:lineRule="auto"/>
        <w:ind w:left="722" w:leftChars="301"/>
        <w:rPr>
          <w:rFonts w:ascii="仿宋_GB2312" w:hAnsi="宋体" w:eastAsia="仿宋_GB2312"/>
          <w:sz w:val="32"/>
          <w:szCs w:val="32"/>
        </w:rPr>
      </w:pPr>
    </w:p>
    <w:p w14:paraId="295B9836">
      <w:pPr>
        <w:adjustRightInd w:val="0"/>
        <w:snapToGrid w:val="0"/>
        <w:spacing w:line="360" w:lineRule="auto"/>
        <w:ind w:firstLine="633" w:firstLineChars="198"/>
        <w:rPr>
          <w:rFonts w:ascii="仿宋_GB2312" w:hAnsi="宋体" w:eastAsia="仿宋_GB2312"/>
        </w:rPr>
      </w:pPr>
      <w:r>
        <w:rPr>
          <w:rFonts w:hint="eastAsia" w:ascii="仿宋_GB2312" w:hAnsi="宋体" w:eastAsia="仿宋_GB2312"/>
          <w:sz w:val="32"/>
          <w:szCs w:val="32"/>
        </w:rPr>
        <w:t>委托人：</w:t>
      </w:r>
      <w:r>
        <w:rPr>
          <w:rFonts w:hint="eastAsia" w:ascii="仿宋_GB2312" w:hAnsi="宋体" w:eastAsia="仿宋_GB2312"/>
          <w:sz w:val="32"/>
          <w:szCs w:val="32"/>
          <w:u w:val="single"/>
        </w:rPr>
        <w:t xml:space="preserve">   （盖章） </w:t>
      </w:r>
      <w:r>
        <w:rPr>
          <w:rFonts w:hint="eastAsia" w:ascii="仿宋_GB2312" w:hAnsi="宋体" w:eastAsia="仿宋_GB2312"/>
          <w:u w:val="single"/>
        </w:rPr>
        <w:t xml:space="preserve">    </w:t>
      </w:r>
      <w:r>
        <w:rPr>
          <w:rFonts w:hint="eastAsia" w:ascii="仿宋_GB2312" w:hAnsi="宋体" w:eastAsia="仿宋_GB2312"/>
        </w:rPr>
        <w:t xml:space="preserve">   </w:t>
      </w:r>
      <w:r>
        <w:rPr>
          <w:rFonts w:hint="eastAsia" w:ascii="仿宋_GB2312" w:hAnsi="宋体" w:eastAsia="仿宋_GB2312"/>
          <w:sz w:val="32"/>
          <w:szCs w:val="32"/>
        </w:rPr>
        <w:t>监理人：</w:t>
      </w:r>
      <w:r>
        <w:rPr>
          <w:rFonts w:hint="eastAsia" w:ascii="仿宋_GB2312" w:hAnsi="宋体" w:eastAsia="仿宋_GB2312"/>
          <w:sz w:val="32"/>
          <w:szCs w:val="32"/>
          <w:u w:val="single"/>
        </w:rPr>
        <w:t xml:space="preserve">   （盖章）    </w:t>
      </w:r>
    </w:p>
    <w:p w14:paraId="39EB1227">
      <w:pPr>
        <w:adjustRightInd w:val="0"/>
        <w:snapToGrid w:val="0"/>
        <w:spacing w:line="360" w:lineRule="auto"/>
        <w:ind w:firstLine="633" w:firstLineChars="198"/>
        <w:rPr>
          <w:rFonts w:ascii="仿宋_GB2312" w:hAnsi="宋体" w:eastAsia="仿宋_GB2312"/>
        </w:rPr>
      </w:pPr>
      <w:r>
        <w:rPr>
          <w:rFonts w:hint="eastAsia" w:ascii="仿宋_GB2312" w:hAnsi="宋体" w:eastAsia="仿宋_GB2312"/>
          <w:sz w:val="32"/>
          <w:szCs w:val="32"/>
        </w:rPr>
        <w:t xml:space="preserve">住所： </w:t>
      </w:r>
      <w:r>
        <w:rPr>
          <w:rFonts w:hint="eastAsia" w:ascii="仿宋_GB2312" w:hAnsi="宋体" w:eastAsia="仿宋_GB2312"/>
          <w:u w:val="single"/>
        </w:rPr>
        <w:t xml:space="preserve">                     </w:t>
      </w:r>
      <w:r>
        <w:rPr>
          <w:rFonts w:hint="eastAsia" w:ascii="仿宋_GB2312" w:hAnsi="宋体" w:eastAsia="仿宋_GB2312"/>
        </w:rPr>
        <w:t xml:space="preserve">    </w:t>
      </w:r>
      <w:r>
        <w:rPr>
          <w:rFonts w:hint="eastAsia" w:ascii="仿宋_GB2312" w:hAnsi="宋体" w:eastAsia="仿宋_GB2312"/>
          <w:sz w:val="32"/>
          <w:szCs w:val="32"/>
        </w:rPr>
        <w:t xml:space="preserve">住所： </w:t>
      </w:r>
      <w:r>
        <w:rPr>
          <w:rFonts w:hint="eastAsia" w:ascii="仿宋_GB2312" w:hAnsi="宋体" w:eastAsia="仿宋_GB2312"/>
          <w:u w:val="single"/>
        </w:rPr>
        <w:t xml:space="preserve">                      </w:t>
      </w:r>
    </w:p>
    <w:p w14:paraId="0A244766">
      <w:pPr>
        <w:adjustRightInd w:val="0"/>
        <w:snapToGrid w:val="0"/>
        <w:spacing w:line="360" w:lineRule="auto"/>
        <w:ind w:firstLine="640" w:firstLineChars="200"/>
        <w:rPr>
          <w:rFonts w:ascii="仿宋_GB2312" w:hAnsi="宋体" w:eastAsia="仿宋_GB2312"/>
        </w:rPr>
      </w:pPr>
      <w:r>
        <w:rPr>
          <w:rFonts w:hint="eastAsia" w:ascii="仿宋_GB2312" w:hAnsi="宋体" w:eastAsia="仿宋_GB2312"/>
          <w:sz w:val="32"/>
          <w:szCs w:val="32"/>
        </w:rPr>
        <w:t>邮政编码：</w:t>
      </w:r>
      <w:r>
        <w:rPr>
          <w:rFonts w:hint="eastAsia" w:ascii="仿宋_GB2312" w:hAnsi="宋体" w:eastAsia="仿宋_GB2312"/>
          <w:u w:val="single"/>
        </w:rPr>
        <w:t xml:space="preserve">                 </w:t>
      </w:r>
      <w:r>
        <w:rPr>
          <w:rFonts w:hint="eastAsia" w:ascii="仿宋_GB2312" w:hAnsi="宋体" w:eastAsia="仿宋_GB2312"/>
        </w:rPr>
        <w:t xml:space="preserve">   </w:t>
      </w:r>
      <w:r>
        <w:rPr>
          <w:rFonts w:hint="eastAsia" w:ascii="仿宋_GB2312" w:hAnsi="宋体" w:eastAsia="仿宋_GB2312"/>
          <w:sz w:val="32"/>
          <w:szCs w:val="32"/>
        </w:rPr>
        <w:t>邮政编码：</w:t>
      </w:r>
      <w:r>
        <w:rPr>
          <w:rFonts w:hint="eastAsia" w:ascii="仿宋_GB2312" w:hAnsi="宋体" w:eastAsia="仿宋_GB2312"/>
          <w:u w:val="single"/>
        </w:rPr>
        <w:t xml:space="preserve">                  </w:t>
      </w:r>
    </w:p>
    <w:p w14:paraId="2CD3D6BE">
      <w:pPr>
        <w:adjustRightInd w:val="0"/>
        <w:snapToGrid w:val="0"/>
        <w:spacing w:line="360" w:lineRule="auto"/>
        <w:ind w:firstLine="633" w:firstLineChars="198"/>
        <w:rPr>
          <w:rFonts w:ascii="仿宋_GB2312" w:hAnsi="宋体" w:eastAsia="仿宋_GB2312"/>
          <w:sz w:val="32"/>
          <w:szCs w:val="32"/>
        </w:rPr>
      </w:pPr>
      <w:r>
        <w:rPr>
          <w:rFonts w:hint="eastAsia" w:ascii="仿宋_GB2312" w:hAnsi="宋体" w:eastAsia="仿宋_GB2312"/>
          <w:sz w:val="32"/>
          <w:szCs w:val="32"/>
        </w:rPr>
        <w:t>法定代表人或其授权       法定代表人或其授权</w:t>
      </w:r>
    </w:p>
    <w:p w14:paraId="55E203D3">
      <w:pPr>
        <w:adjustRightInd w:val="0"/>
        <w:snapToGrid w:val="0"/>
        <w:spacing w:line="360" w:lineRule="auto"/>
        <w:ind w:firstLine="633" w:firstLineChars="198"/>
        <w:rPr>
          <w:rFonts w:ascii="仿宋_GB2312" w:hAnsi="宋体" w:eastAsia="仿宋_GB2312"/>
        </w:rPr>
      </w:pPr>
      <w:r>
        <w:rPr>
          <w:rFonts w:hint="eastAsia" w:ascii="仿宋_GB2312" w:hAnsi="宋体" w:eastAsia="仿宋_GB2312"/>
          <w:sz w:val="32"/>
          <w:szCs w:val="32"/>
        </w:rPr>
        <w:t>的代理人：</w:t>
      </w:r>
      <w:r>
        <w:rPr>
          <w:rFonts w:hint="eastAsia" w:ascii="仿宋_GB2312" w:hAnsi="宋体" w:eastAsia="仿宋_GB2312"/>
          <w:sz w:val="32"/>
          <w:szCs w:val="32"/>
          <w:u w:val="single"/>
        </w:rPr>
        <w:t xml:space="preserve">（签字）      </w:t>
      </w:r>
      <w:r>
        <w:rPr>
          <w:rFonts w:hint="eastAsia" w:ascii="仿宋_GB2312" w:hAnsi="宋体" w:eastAsia="仿宋_GB2312"/>
          <w:sz w:val="32"/>
          <w:szCs w:val="32"/>
        </w:rPr>
        <w:t xml:space="preserve">  的代理人：</w:t>
      </w:r>
      <w:r>
        <w:rPr>
          <w:rFonts w:hint="eastAsia" w:ascii="仿宋_GB2312" w:hAnsi="宋体" w:eastAsia="仿宋_GB2312"/>
          <w:sz w:val="32"/>
          <w:szCs w:val="32"/>
          <w:u w:val="single"/>
        </w:rPr>
        <w:t xml:space="preserve">（签字）      </w:t>
      </w:r>
      <w:r>
        <w:rPr>
          <w:rFonts w:hint="eastAsia" w:ascii="仿宋_GB2312" w:hAnsi="宋体" w:eastAsia="仿宋_GB2312"/>
          <w:u w:val="single"/>
        </w:rPr>
        <w:t xml:space="preserve">    </w:t>
      </w:r>
    </w:p>
    <w:p w14:paraId="5AB99675">
      <w:pPr>
        <w:adjustRightInd w:val="0"/>
        <w:snapToGrid w:val="0"/>
        <w:spacing w:line="360" w:lineRule="auto"/>
        <w:ind w:firstLine="633" w:firstLineChars="198"/>
        <w:rPr>
          <w:rFonts w:ascii="仿宋_GB2312" w:hAnsi="宋体" w:eastAsia="仿宋_GB2312"/>
        </w:rPr>
      </w:pPr>
      <w:r>
        <w:rPr>
          <w:rFonts w:hint="eastAsia" w:ascii="仿宋_GB2312" w:hAnsi="宋体" w:eastAsia="仿宋_GB2312"/>
          <w:sz w:val="32"/>
          <w:szCs w:val="32"/>
        </w:rPr>
        <w:t>开户银行：</w:t>
      </w:r>
      <w:r>
        <w:rPr>
          <w:rFonts w:hint="eastAsia" w:ascii="仿宋_GB2312" w:hAnsi="宋体" w:eastAsia="仿宋_GB2312"/>
          <w:u w:val="single"/>
        </w:rPr>
        <w:t xml:space="preserve">                 </w:t>
      </w:r>
      <w:r>
        <w:rPr>
          <w:rFonts w:hint="eastAsia" w:ascii="仿宋_GB2312" w:hAnsi="宋体" w:eastAsia="仿宋_GB2312"/>
        </w:rPr>
        <w:t xml:space="preserve">   </w:t>
      </w:r>
      <w:r>
        <w:rPr>
          <w:rFonts w:hint="eastAsia" w:ascii="仿宋_GB2312" w:hAnsi="宋体" w:eastAsia="仿宋_GB2312"/>
          <w:sz w:val="32"/>
          <w:szCs w:val="32"/>
        </w:rPr>
        <w:t>开户银行：</w:t>
      </w:r>
      <w:r>
        <w:rPr>
          <w:rFonts w:hint="eastAsia" w:ascii="仿宋_GB2312" w:hAnsi="宋体" w:eastAsia="仿宋_GB2312"/>
          <w:u w:val="single"/>
        </w:rPr>
        <w:t xml:space="preserve">                  </w:t>
      </w:r>
    </w:p>
    <w:p w14:paraId="1CCDFA6C">
      <w:pPr>
        <w:adjustRightInd w:val="0"/>
        <w:snapToGrid w:val="0"/>
        <w:spacing w:line="360" w:lineRule="auto"/>
        <w:ind w:firstLine="633" w:firstLineChars="198"/>
        <w:rPr>
          <w:rFonts w:ascii="仿宋_GB2312" w:hAnsi="宋体" w:eastAsia="仿宋_GB2312"/>
        </w:rPr>
      </w:pPr>
      <w:r>
        <w:rPr>
          <w:rFonts w:hint="eastAsia" w:ascii="仿宋_GB2312" w:hAnsi="宋体" w:eastAsia="仿宋_GB2312"/>
          <w:sz w:val="32"/>
          <w:szCs w:val="32"/>
        </w:rPr>
        <w:t>账号：</w:t>
      </w:r>
      <w:r>
        <w:rPr>
          <w:rFonts w:hint="eastAsia" w:ascii="仿宋_GB2312" w:hAnsi="宋体" w:eastAsia="仿宋_GB2312"/>
          <w:u w:val="single"/>
        </w:rPr>
        <w:t xml:space="preserve">                      </w:t>
      </w:r>
      <w:r>
        <w:rPr>
          <w:rFonts w:hint="eastAsia" w:ascii="仿宋_GB2312" w:hAnsi="宋体" w:eastAsia="仿宋_GB2312"/>
        </w:rPr>
        <w:t xml:space="preserve">   </w:t>
      </w:r>
      <w:r>
        <w:rPr>
          <w:rFonts w:hint="eastAsia" w:ascii="仿宋_GB2312" w:hAnsi="宋体" w:eastAsia="仿宋_GB2312"/>
          <w:sz w:val="32"/>
          <w:szCs w:val="32"/>
        </w:rPr>
        <w:t>账号：</w:t>
      </w:r>
      <w:r>
        <w:rPr>
          <w:rFonts w:hint="eastAsia" w:ascii="仿宋_GB2312" w:hAnsi="宋体" w:eastAsia="仿宋_GB2312"/>
          <w:u w:val="single"/>
        </w:rPr>
        <w:t xml:space="preserve">                       </w:t>
      </w:r>
      <w:r>
        <w:rPr>
          <w:rFonts w:hint="eastAsia" w:ascii="仿宋_GB2312" w:hAnsi="宋体" w:eastAsia="仿宋_GB2312"/>
        </w:rPr>
        <w:t xml:space="preserve"> </w:t>
      </w:r>
      <w:r>
        <w:rPr>
          <w:rFonts w:hint="eastAsia" w:ascii="仿宋_GB2312" w:hAnsi="宋体" w:eastAsia="仿宋_GB2312"/>
          <w:u w:val="single"/>
        </w:rPr>
        <w:t xml:space="preserve"> </w:t>
      </w:r>
    </w:p>
    <w:p w14:paraId="250CB4A3">
      <w:pPr>
        <w:adjustRightInd w:val="0"/>
        <w:snapToGrid w:val="0"/>
        <w:spacing w:line="360" w:lineRule="auto"/>
        <w:ind w:firstLine="633" w:firstLineChars="198"/>
        <w:rPr>
          <w:rFonts w:ascii="仿宋_GB2312" w:hAnsi="宋体" w:eastAsia="仿宋_GB2312"/>
        </w:rPr>
      </w:pPr>
      <w:r>
        <w:rPr>
          <w:rFonts w:hint="eastAsia" w:ascii="仿宋_GB2312" w:hAnsi="宋体" w:eastAsia="仿宋_GB2312"/>
          <w:sz w:val="32"/>
          <w:szCs w:val="32"/>
        </w:rPr>
        <w:t>电话：</w:t>
      </w:r>
      <w:r>
        <w:rPr>
          <w:rFonts w:hint="eastAsia" w:ascii="仿宋_GB2312" w:hAnsi="宋体" w:eastAsia="仿宋_GB2312"/>
          <w:u w:val="single"/>
        </w:rPr>
        <w:t xml:space="preserve">                      </w:t>
      </w:r>
      <w:r>
        <w:rPr>
          <w:rFonts w:hint="eastAsia" w:ascii="仿宋_GB2312" w:hAnsi="宋体" w:eastAsia="仿宋_GB2312"/>
        </w:rPr>
        <w:t xml:space="preserve">   </w:t>
      </w:r>
      <w:r>
        <w:rPr>
          <w:rFonts w:hint="eastAsia" w:ascii="仿宋_GB2312" w:hAnsi="宋体" w:eastAsia="仿宋_GB2312"/>
          <w:sz w:val="32"/>
          <w:szCs w:val="32"/>
        </w:rPr>
        <w:t>电话：</w:t>
      </w:r>
      <w:r>
        <w:rPr>
          <w:rFonts w:hint="eastAsia" w:ascii="仿宋_GB2312" w:hAnsi="宋体" w:eastAsia="仿宋_GB2312"/>
          <w:u w:val="single"/>
        </w:rPr>
        <w:t xml:space="preserve">                       </w:t>
      </w:r>
    </w:p>
    <w:p w14:paraId="737A9BEA">
      <w:pPr>
        <w:adjustRightInd w:val="0"/>
        <w:snapToGrid w:val="0"/>
        <w:spacing w:line="360" w:lineRule="auto"/>
        <w:ind w:firstLine="633" w:firstLineChars="198"/>
        <w:rPr>
          <w:rFonts w:ascii="仿宋_GB2312" w:hAnsi="宋体" w:eastAsia="仿宋_GB2312"/>
        </w:rPr>
      </w:pPr>
      <w:r>
        <w:rPr>
          <w:rFonts w:hint="eastAsia" w:ascii="仿宋_GB2312" w:hAnsi="宋体" w:eastAsia="仿宋_GB2312"/>
          <w:sz w:val="32"/>
          <w:szCs w:val="32"/>
        </w:rPr>
        <w:t>传真：</w:t>
      </w:r>
      <w:r>
        <w:rPr>
          <w:rFonts w:hint="eastAsia" w:ascii="仿宋_GB2312" w:hAnsi="宋体" w:eastAsia="仿宋_GB2312"/>
          <w:u w:val="single"/>
        </w:rPr>
        <w:t xml:space="preserve">                      </w:t>
      </w:r>
      <w:r>
        <w:rPr>
          <w:rFonts w:hint="eastAsia" w:ascii="仿宋_GB2312" w:hAnsi="宋体" w:eastAsia="仿宋_GB2312"/>
        </w:rPr>
        <w:t xml:space="preserve">   </w:t>
      </w:r>
      <w:r>
        <w:rPr>
          <w:rFonts w:hint="eastAsia" w:ascii="仿宋_GB2312" w:hAnsi="宋体" w:eastAsia="仿宋_GB2312"/>
          <w:sz w:val="32"/>
          <w:szCs w:val="32"/>
        </w:rPr>
        <w:t>传真：</w:t>
      </w:r>
      <w:r>
        <w:rPr>
          <w:rFonts w:hint="eastAsia" w:ascii="仿宋_GB2312" w:hAnsi="宋体" w:eastAsia="仿宋_GB2312"/>
          <w:u w:val="single"/>
        </w:rPr>
        <w:t xml:space="preserve">                       </w:t>
      </w:r>
    </w:p>
    <w:p w14:paraId="41BC63E2">
      <w:pPr>
        <w:adjustRightInd w:val="0"/>
        <w:snapToGrid w:val="0"/>
        <w:spacing w:line="360" w:lineRule="auto"/>
        <w:ind w:firstLine="633" w:firstLineChars="198"/>
        <w:rPr>
          <w:rFonts w:ascii="仿宋_GB2312" w:hAnsi="宋体" w:eastAsia="仿宋_GB2312"/>
          <w:u w:val="single"/>
        </w:rPr>
      </w:pPr>
      <w:r>
        <w:rPr>
          <w:rFonts w:hint="eastAsia" w:ascii="仿宋_GB2312" w:hAnsi="宋体" w:eastAsia="仿宋_GB2312"/>
          <w:sz w:val="32"/>
          <w:szCs w:val="32"/>
        </w:rPr>
        <w:t>电子邮箱：</w:t>
      </w:r>
      <w:r>
        <w:rPr>
          <w:rFonts w:hint="eastAsia" w:ascii="仿宋_GB2312" w:hAnsi="宋体" w:eastAsia="仿宋_GB2312"/>
          <w:u w:val="single"/>
        </w:rPr>
        <w:t xml:space="preserve">                 </w:t>
      </w:r>
      <w:r>
        <w:rPr>
          <w:rFonts w:hint="eastAsia" w:ascii="仿宋_GB2312" w:hAnsi="宋体" w:eastAsia="仿宋_GB2312"/>
        </w:rPr>
        <w:t xml:space="preserve">   </w:t>
      </w:r>
      <w:r>
        <w:rPr>
          <w:rFonts w:hint="eastAsia" w:ascii="仿宋_GB2312" w:hAnsi="宋体" w:eastAsia="仿宋_GB2312"/>
          <w:sz w:val="32"/>
          <w:szCs w:val="32"/>
        </w:rPr>
        <w:t>电子邮箱：</w:t>
      </w:r>
      <w:r>
        <w:rPr>
          <w:rFonts w:hint="eastAsia" w:ascii="仿宋_GB2312" w:hAnsi="宋体" w:eastAsia="仿宋_GB2312"/>
          <w:u w:val="single"/>
        </w:rPr>
        <w:t xml:space="preserve">                  </w:t>
      </w:r>
    </w:p>
    <w:p w14:paraId="7350A2F3">
      <w:pPr>
        <w:pageBreakBefore/>
        <w:spacing w:line="360" w:lineRule="auto"/>
        <w:jc w:val="center"/>
        <w:rPr>
          <w:rFonts w:ascii="华文中宋" w:hAnsi="华文中宋" w:eastAsia="华文中宋"/>
          <w:b/>
          <w:sz w:val="44"/>
          <w:szCs w:val="44"/>
        </w:rPr>
      </w:pPr>
      <w:r>
        <w:rPr>
          <w:rFonts w:hint="eastAsia" w:ascii="华文中宋" w:hAnsi="华文中宋" w:eastAsia="华文中宋"/>
          <w:b/>
          <w:sz w:val="44"/>
          <w:szCs w:val="44"/>
        </w:rPr>
        <w:t>第二部分  通用条件</w:t>
      </w:r>
    </w:p>
    <w:p w14:paraId="778839E9">
      <w:pPr>
        <w:spacing w:line="360" w:lineRule="auto"/>
        <w:jc w:val="center"/>
        <w:rPr>
          <w:rFonts w:ascii="仿宋_GB2312" w:hAnsi="宋体" w:eastAsia="仿宋_GB2312"/>
          <w:b/>
        </w:rPr>
      </w:pPr>
    </w:p>
    <w:p w14:paraId="4022A6BE">
      <w:pPr>
        <w:spacing w:line="360" w:lineRule="auto"/>
        <w:rPr>
          <w:rFonts w:ascii="仿宋_GB2312" w:hAnsi="黑体" w:eastAsia="仿宋_GB2312"/>
          <w:b/>
          <w:sz w:val="32"/>
          <w:szCs w:val="32"/>
        </w:rPr>
      </w:pPr>
      <w:r>
        <w:rPr>
          <w:rFonts w:hint="eastAsia" w:ascii="仿宋_GB2312" w:hAnsi="黑体" w:eastAsia="仿宋_GB2312"/>
          <w:b/>
          <w:sz w:val="32"/>
          <w:szCs w:val="32"/>
        </w:rPr>
        <w:t>1. 定义与解释</w:t>
      </w:r>
    </w:p>
    <w:p w14:paraId="0C638DAF">
      <w:pPr>
        <w:spacing w:line="360" w:lineRule="auto"/>
        <w:ind w:left="240" w:leftChars="100"/>
        <w:rPr>
          <w:rFonts w:ascii="仿宋_GB2312" w:hAnsi="宋体" w:eastAsia="仿宋_GB2312"/>
          <w:bCs/>
          <w:sz w:val="32"/>
          <w:szCs w:val="32"/>
        </w:rPr>
      </w:pPr>
      <w:r>
        <w:rPr>
          <w:rFonts w:hint="eastAsia" w:ascii="仿宋_GB2312" w:eastAsia="仿宋_GB2312"/>
          <w:sz w:val="32"/>
          <w:szCs w:val="32"/>
        </w:rPr>
        <w:t xml:space="preserve">1.1 </w:t>
      </w:r>
      <w:r>
        <w:rPr>
          <w:rFonts w:hint="eastAsia" w:ascii="仿宋_GB2312" w:hAnsi="宋体" w:eastAsia="仿宋_GB2312"/>
          <w:bCs/>
          <w:sz w:val="32"/>
          <w:szCs w:val="32"/>
        </w:rPr>
        <w:t>定义</w:t>
      </w:r>
    </w:p>
    <w:p w14:paraId="623F3110">
      <w:pPr>
        <w:adjustRightInd w:val="0"/>
        <w:snapToGrid w:val="0"/>
        <w:spacing w:line="360" w:lineRule="auto"/>
        <w:ind w:firstLine="640" w:firstLineChars="200"/>
        <w:rPr>
          <w:rFonts w:ascii="仿宋_GB2312" w:eastAsia="仿宋_GB2312"/>
          <w:sz w:val="32"/>
          <w:szCs w:val="32"/>
        </w:rPr>
      </w:pPr>
      <w:r>
        <w:rPr>
          <w:rFonts w:hint="eastAsia" w:ascii="仿宋_GB2312" w:hAnsi="宋体" w:eastAsia="仿宋_GB2312"/>
          <w:sz w:val="32"/>
          <w:szCs w:val="32"/>
        </w:rPr>
        <w:t>除根据上下文另有其意义外</w:t>
      </w:r>
      <w:r>
        <w:rPr>
          <w:rFonts w:hint="eastAsia" w:ascii="仿宋_GB2312" w:eastAsia="仿宋_GB2312"/>
          <w:sz w:val="32"/>
          <w:szCs w:val="32"/>
        </w:rPr>
        <w:t>，组成</w:t>
      </w:r>
      <w:r>
        <w:rPr>
          <w:rFonts w:hint="eastAsia" w:ascii="仿宋_GB2312" w:hAnsi="宋体" w:eastAsia="仿宋_GB2312"/>
          <w:sz w:val="32"/>
          <w:szCs w:val="32"/>
        </w:rPr>
        <w:t>本合同</w:t>
      </w:r>
      <w:r>
        <w:rPr>
          <w:rFonts w:hint="eastAsia" w:ascii="仿宋_GB2312" w:eastAsia="仿宋_GB2312"/>
          <w:sz w:val="32"/>
          <w:szCs w:val="32"/>
        </w:rPr>
        <w:t>的全部文件中的</w:t>
      </w:r>
      <w:r>
        <w:rPr>
          <w:rFonts w:hint="eastAsia" w:ascii="仿宋_GB2312" w:hAnsi="宋体" w:eastAsia="仿宋_GB2312"/>
          <w:sz w:val="32"/>
          <w:szCs w:val="32"/>
        </w:rPr>
        <w:t>下列名词和用语应具有本款所赋予的含义</w:t>
      </w:r>
      <w:r>
        <w:rPr>
          <w:rFonts w:hint="eastAsia" w:ascii="仿宋_GB2312" w:eastAsia="仿宋_GB2312"/>
          <w:sz w:val="32"/>
          <w:szCs w:val="32"/>
        </w:rPr>
        <w:t>：</w:t>
      </w:r>
    </w:p>
    <w:p w14:paraId="2D4A1F63">
      <w:pPr>
        <w:adjustRightInd w:val="0"/>
        <w:snapToGrid w:val="0"/>
        <w:spacing w:line="360" w:lineRule="auto"/>
        <w:ind w:firstLine="640" w:firstLineChars="200"/>
        <w:rPr>
          <w:rFonts w:ascii="仿宋_GB2312" w:eastAsia="仿宋_GB2312"/>
          <w:sz w:val="32"/>
          <w:szCs w:val="32"/>
        </w:rPr>
      </w:pPr>
      <w:r>
        <w:rPr>
          <w:rFonts w:hint="eastAsia" w:ascii="仿宋_GB2312" w:eastAsia="仿宋_GB2312"/>
          <w:sz w:val="32"/>
          <w:szCs w:val="32"/>
        </w:rPr>
        <w:t xml:space="preserve">1.1.1 </w:t>
      </w:r>
      <w:r>
        <w:rPr>
          <w:rFonts w:hint="eastAsia" w:ascii="仿宋_GB2312" w:hAnsi="宋体" w:eastAsia="仿宋_GB2312"/>
          <w:sz w:val="32"/>
          <w:szCs w:val="32"/>
        </w:rPr>
        <w:t>“</w:t>
      </w:r>
      <w:r>
        <w:rPr>
          <w:rFonts w:hint="eastAsia" w:ascii="仿宋_GB2312" w:eastAsia="仿宋_GB2312"/>
          <w:sz w:val="32"/>
          <w:szCs w:val="32"/>
        </w:rPr>
        <w:t>工程</w:t>
      </w:r>
      <w:r>
        <w:rPr>
          <w:rFonts w:hint="eastAsia" w:ascii="仿宋_GB2312" w:hAnsi="宋体" w:eastAsia="仿宋_GB2312"/>
          <w:sz w:val="32"/>
          <w:szCs w:val="32"/>
        </w:rPr>
        <w:t>”</w:t>
      </w:r>
      <w:r>
        <w:rPr>
          <w:rFonts w:hint="eastAsia" w:ascii="仿宋_GB2312" w:eastAsia="仿宋_GB2312"/>
          <w:sz w:val="32"/>
          <w:szCs w:val="32"/>
        </w:rPr>
        <w:t>是指按照本合同约定实施监理与相关服务的建设</w:t>
      </w:r>
      <w:r>
        <w:rPr>
          <w:rFonts w:hint="eastAsia" w:ascii="仿宋_GB2312" w:hAnsi="ˎ̥" w:eastAsia="仿宋_GB2312"/>
          <w:sz w:val="32"/>
          <w:szCs w:val="32"/>
        </w:rPr>
        <w:t>工程</w:t>
      </w:r>
      <w:r>
        <w:rPr>
          <w:rFonts w:hint="eastAsia" w:ascii="仿宋_GB2312" w:eastAsia="仿宋_GB2312"/>
          <w:sz w:val="32"/>
          <w:szCs w:val="32"/>
        </w:rPr>
        <w:t>。</w:t>
      </w:r>
    </w:p>
    <w:p w14:paraId="0FA2D403">
      <w:pPr>
        <w:adjustRightInd w:val="0"/>
        <w:snapToGrid w:val="0"/>
        <w:spacing w:line="360" w:lineRule="auto"/>
        <w:ind w:firstLine="640" w:firstLineChars="200"/>
        <w:rPr>
          <w:rFonts w:ascii="仿宋_GB2312" w:hAnsi="宋体" w:eastAsia="仿宋_GB2312"/>
          <w:sz w:val="32"/>
          <w:szCs w:val="32"/>
        </w:rPr>
      </w:pPr>
      <w:r>
        <w:rPr>
          <w:rFonts w:hint="eastAsia" w:ascii="仿宋_GB2312" w:eastAsia="仿宋_GB2312"/>
          <w:sz w:val="32"/>
          <w:szCs w:val="32"/>
        </w:rPr>
        <w:t>1.1.2 “委托人”</w:t>
      </w:r>
      <w:r>
        <w:rPr>
          <w:rFonts w:hint="eastAsia" w:ascii="仿宋_GB2312" w:hAnsi="宋体" w:eastAsia="仿宋_GB2312"/>
          <w:sz w:val="32"/>
          <w:szCs w:val="32"/>
        </w:rPr>
        <w:t>是指本合同中委托监理与相关服务的一方，及其合法的继承人或受让人。</w:t>
      </w:r>
    </w:p>
    <w:p w14:paraId="74AC2FA8">
      <w:pPr>
        <w:adjustRightInd w:val="0"/>
        <w:snapToGrid w:val="0"/>
        <w:spacing w:line="360" w:lineRule="auto"/>
        <w:ind w:firstLine="640" w:firstLineChars="200"/>
        <w:rPr>
          <w:rFonts w:ascii="仿宋_GB2312" w:hAnsi="宋体" w:eastAsia="仿宋_GB2312"/>
          <w:sz w:val="32"/>
          <w:szCs w:val="32"/>
        </w:rPr>
      </w:pPr>
      <w:r>
        <w:rPr>
          <w:rFonts w:hint="eastAsia" w:ascii="仿宋_GB2312" w:eastAsia="仿宋_GB2312"/>
          <w:sz w:val="32"/>
          <w:szCs w:val="32"/>
        </w:rPr>
        <w:t xml:space="preserve">1.1.3 </w:t>
      </w:r>
      <w:r>
        <w:rPr>
          <w:rFonts w:hint="eastAsia" w:ascii="仿宋_GB2312" w:hAnsi="宋体" w:eastAsia="仿宋_GB2312"/>
          <w:sz w:val="32"/>
          <w:szCs w:val="32"/>
        </w:rPr>
        <w:t>“监理人”是指本合同中提供监理与相关服务的一方，及其合法的继承人。</w:t>
      </w:r>
    </w:p>
    <w:p w14:paraId="0CAD458F">
      <w:pPr>
        <w:adjustRightInd w:val="0"/>
        <w:snapToGrid w:val="0"/>
        <w:spacing w:line="360" w:lineRule="auto"/>
        <w:ind w:firstLine="640" w:firstLineChars="200"/>
        <w:rPr>
          <w:rFonts w:ascii="仿宋_GB2312" w:eastAsia="仿宋_GB2312"/>
          <w:sz w:val="32"/>
          <w:szCs w:val="32"/>
        </w:rPr>
      </w:pPr>
      <w:r>
        <w:rPr>
          <w:rFonts w:hint="eastAsia" w:ascii="仿宋_GB2312" w:eastAsia="仿宋_GB2312"/>
          <w:sz w:val="32"/>
          <w:szCs w:val="32"/>
        </w:rPr>
        <w:t>1.1.4 “承包人”是指在工程范围内与委托人签订勘察、设计、施工等有关合同的当事人，及其合法的继承人。</w:t>
      </w:r>
    </w:p>
    <w:p w14:paraId="6E52266F">
      <w:pPr>
        <w:pStyle w:val="10"/>
        <w:spacing w:line="360" w:lineRule="auto"/>
        <w:ind w:firstLine="570"/>
        <w:rPr>
          <w:rFonts w:ascii="仿宋_GB2312" w:eastAsia="仿宋_GB2312"/>
          <w:sz w:val="32"/>
          <w:szCs w:val="32"/>
        </w:rPr>
      </w:pPr>
      <w:r>
        <w:rPr>
          <w:rFonts w:hint="eastAsia" w:ascii="仿宋_GB2312" w:eastAsia="仿宋_GB2312"/>
          <w:sz w:val="32"/>
          <w:szCs w:val="32"/>
        </w:rPr>
        <w:t>1.1.5</w:t>
      </w:r>
      <w:r>
        <w:rPr>
          <w:rFonts w:hint="eastAsia" w:ascii="仿宋_GB2312" w:hAnsi="宋体" w:eastAsia="仿宋_GB2312"/>
          <w:sz w:val="32"/>
          <w:szCs w:val="32"/>
        </w:rPr>
        <w:t xml:space="preserve"> “监理”是指监理人受</w:t>
      </w:r>
      <w:r>
        <w:rPr>
          <w:rFonts w:hint="eastAsia" w:ascii="仿宋_GB2312" w:eastAsia="仿宋_GB2312"/>
          <w:sz w:val="32"/>
          <w:szCs w:val="32"/>
        </w:rPr>
        <w:t>委托人的委托</w:t>
      </w:r>
      <w:r>
        <w:rPr>
          <w:rFonts w:hint="eastAsia" w:ascii="仿宋_GB2312" w:hAnsi="宋体" w:eastAsia="仿宋_GB2312"/>
          <w:sz w:val="32"/>
          <w:szCs w:val="32"/>
        </w:rPr>
        <w:t>，</w:t>
      </w:r>
      <w:r>
        <w:rPr>
          <w:rFonts w:hint="eastAsia" w:ascii="仿宋_GB2312" w:eastAsia="仿宋_GB2312"/>
          <w:sz w:val="32"/>
          <w:szCs w:val="32"/>
        </w:rPr>
        <w:t>依照法律法规、工程建设标准、勘察设计文件及合同，在施工阶段对建设工程质量、进度、造价进行控制，对合同、信息进行管理，对工程建设相关方的关系进行协调，并履行建设工程安全生产管理法定职责的服务活动。</w:t>
      </w:r>
    </w:p>
    <w:p w14:paraId="609965F6">
      <w:pPr>
        <w:adjustRightInd w:val="0"/>
        <w:snapToGrid w:val="0"/>
        <w:spacing w:line="360" w:lineRule="auto"/>
        <w:ind w:firstLine="640" w:firstLineChars="200"/>
        <w:rPr>
          <w:rFonts w:ascii="仿宋_GB2312" w:hAnsi="宋体" w:eastAsia="仿宋_GB2312"/>
          <w:sz w:val="32"/>
          <w:szCs w:val="32"/>
        </w:rPr>
      </w:pPr>
      <w:r>
        <w:rPr>
          <w:rFonts w:hint="eastAsia" w:ascii="仿宋_GB2312" w:eastAsia="仿宋_GB2312"/>
          <w:sz w:val="32"/>
          <w:szCs w:val="32"/>
        </w:rPr>
        <w:t>1.1.6</w:t>
      </w:r>
      <w:r>
        <w:rPr>
          <w:rFonts w:hint="eastAsia" w:ascii="仿宋_GB2312" w:hAnsi="宋体" w:eastAsia="仿宋_GB2312"/>
          <w:sz w:val="32"/>
          <w:szCs w:val="32"/>
        </w:rPr>
        <w:t xml:space="preserve"> “相关服务”是指监理人受</w:t>
      </w:r>
      <w:r>
        <w:rPr>
          <w:rFonts w:hint="eastAsia" w:ascii="仿宋_GB2312" w:eastAsia="仿宋_GB2312"/>
          <w:sz w:val="32"/>
          <w:szCs w:val="32"/>
        </w:rPr>
        <w:t>委托人的委托</w:t>
      </w:r>
      <w:r>
        <w:rPr>
          <w:rFonts w:hint="eastAsia" w:ascii="仿宋_GB2312" w:hAnsi="宋体" w:eastAsia="仿宋_GB2312"/>
          <w:sz w:val="32"/>
          <w:szCs w:val="32"/>
        </w:rPr>
        <w:t>，</w:t>
      </w:r>
      <w:r>
        <w:rPr>
          <w:rFonts w:hint="eastAsia" w:ascii="仿宋_GB2312" w:eastAsia="仿宋_GB2312"/>
          <w:sz w:val="32"/>
          <w:szCs w:val="32"/>
        </w:rPr>
        <w:t>按照本合同约定，在勘察、设计、保修等阶段提供的服务活动</w:t>
      </w:r>
      <w:r>
        <w:rPr>
          <w:rFonts w:hint="eastAsia" w:ascii="仿宋_GB2312" w:hAnsi="宋体" w:eastAsia="仿宋_GB2312"/>
          <w:sz w:val="32"/>
          <w:szCs w:val="32"/>
        </w:rPr>
        <w:t>。</w:t>
      </w:r>
    </w:p>
    <w:p w14:paraId="77E96F19">
      <w:pPr>
        <w:adjustRightInd w:val="0"/>
        <w:snapToGrid w:val="0"/>
        <w:spacing w:line="360" w:lineRule="auto"/>
        <w:ind w:firstLine="640" w:firstLineChars="200"/>
        <w:rPr>
          <w:rFonts w:ascii="仿宋_GB2312" w:hAnsi="宋体" w:eastAsia="仿宋_GB2312"/>
          <w:sz w:val="32"/>
          <w:szCs w:val="32"/>
        </w:rPr>
      </w:pPr>
      <w:r>
        <w:rPr>
          <w:rFonts w:hint="eastAsia" w:ascii="仿宋_GB2312" w:eastAsia="仿宋_GB2312"/>
          <w:sz w:val="32"/>
          <w:szCs w:val="32"/>
        </w:rPr>
        <w:t>1.1.7</w:t>
      </w:r>
      <w:r>
        <w:rPr>
          <w:rFonts w:hint="eastAsia" w:ascii="仿宋_GB2312" w:hAnsi="宋体" w:eastAsia="仿宋_GB2312"/>
          <w:sz w:val="32"/>
          <w:szCs w:val="32"/>
        </w:rPr>
        <w:t xml:space="preserve"> “正常工作”指本合同订立时通用条件和专用条件中约定的监理人的工作。</w:t>
      </w:r>
    </w:p>
    <w:p w14:paraId="5157FF07">
      <w:pPr>
        <w:adjustRightInd w:val="0"/>
        <w:snapToGrid w:val="0"/>
        <w:spacing w:line="360" w:lineRule="auto"/>
        <w:ind w:firstLine="640" w:firstLineChars="200"/>
        <w:rPr>
          <w:rFonts w:ascii="仿宋_GB2312" w:hAnsi="宋体" w:eastAsia="仿宋_GB2312"/>
          <w:sz w:val="32"/>
          <w:szCs w:val="32"/>
        </w:rPr>
      </w:pPr>
      <w:r>
        <w:rPr>
          <w:rFonts w:hint="eastAsia" w:ascii="仿宋_GB2312" w:eastAsia="仿宋_GB2312"/>
          <w:sz w:val="32"/>
          <w:szCs w:val="32"/>
        </w:rPr>
        <w:t>1.1.8</w:t>
      </w:r>
      <w:r>
        <w:rPr>
          <w:rFonts w:hint="eastAsia" w:ascii="仿宋_GB2312" w:hAnsi="宋体" w:eastAsia="仿宋_GB2312"/>
          <w:sz w:val="32"/>
          <w:szCs w:val="32"/>
        </w:rPr>
        <w:t xml:space="preserve"> “附加工作”是指本合同约定的正常工作以外监理人的工作。</w:t>
      </w:r>
    </w:p>
    <w:p w14:paraId="37DF8D94">
      <w:pPr>
        <w:adjustRightInd w:val="0"/>
        <w:snapToGrid w:val="0"/>
        <w:spacing w:line="360" w:lineRule="auto"/>
        <w:ind w:firstLine="640" w:firstLineChars="200"/>
        <w:rPr>
          <w:rFonts w:ascii="仿宋_GB2312" w:hAnsi="宋体" w:eastAsia="仿宋_GB2312"/>
          <w:sz w:val="32"/>
          <w:szCs w:val="32"/>
        </w:rPr>
      </w:pPr>
      <w:r>
        <w:rPr>
          <w:rFonts w:hint="eastAsia" w:ascii="仿宋_GB2312" w:eastAsia="仿宋_GB2312"/>
          <w:sz w:val="32"/>
          <w:szCs w:val="32"/>
        </w:rPr>
        <w:t>1.1.9</w:t>
      </w:r>
      <w:r>
        <w:rPr>
          <w:rFonts w:hint="eastAsia" w:ascii="仿宋_GB2312" w:hAnsi="宋体" w:eastAsia="仿宋_GB2312"/>
          <w:sz w:val="32"/>
          <w:szCs w:val="32"/>
        </w:rPr>
        <w:t xml:space="preserve"> “项目监理机构”是指监理人派驻工程负责履行本合同的组织机构。</w:t>
      </w:r>
    </w:p>
    <w:p w14:paraId="16473F09">
      <w:pPr>
        <w:adjustRightInd w:val="0"/>
        <w:snapToGrid w:val="0"/>
        <w:spacing w:line="360" w:lineRule="auto"/>
        <w:ind w:firstLine="640" w:firstLineChars="200"/>
        <w:rPr>
          <w:rFonts w:ascii="仿宋_GB2312" w:hAnsi="宋体" w:eastAsia="仿宋_GB2312"/>
          <w:sz w:val="32"/>
          <w:szCs w:val="32"/>
        </w:rPr>
      </w:pPr>
      <w:r>
        <w:rPr>
          <w:rFonts w:hint="eastAsia" w:ascii="仿宋_GB2312" w:eastAsia="仿宋_GB2312"/>
          <w:sz w:val="32"/>
          <w:szCs w:val="32"/>
        </w:rPr>
        <w:t xml:space="preserve">1.1.10 </w:t>
      </w:r>
      <w:r>
        <w:rPr>
          <w:rFonts w:hint="eastAsia" w:ascii="仿宋_GB2312" w:hAnsi="宋体" w:eastAsia="仿宋_GB2312"/>
          <w:sz w:val="32"/>
          <w:szCs w:val="32"/>
        </w:rPr>
        <w:t>“总监理工程师”是指由监理人的法定代表人书面授权，全面负责履行本合同、主持项目监理机构工作的注册监理工程师。</w:t>
      </w:r>
    </w:p>
    <w:p w14:paraId="4649EEB2">
      <w:pPr>
        <w:adjustRightInd w:val="0"/>
        <w:snapToGrid w:val="0"/>
        <w:spacing w:line="360" w:lineRule="auto"/>
        <w:ind w:firstLine="633" w:firstLineChars="198"/>
        <w:rPr>
          <w:rFonts w:ascii="仿宋_GB2312" w:hAnsi="宋体" w:eastAsia="仿宋_GB2312"/>
          <w:sz w:val="32"/>
          <w:szCs w:val="32"/>
        </w:rPr>
      </w:pPr>
      <w:r>
        <w:rPr>
          <w:rFonts w:hint="eastAsia" w:ascii="仿宋_GB2312" w:eastAsia="仿宋_GB2312"/>
          <w:sz w:val="32"/>
          <w:szCs w:val="32"/>
        </w:rPr>
        <w:t>1.1.11</w:t>
      </w:r>
      <w:r>
        <w:rPr>
          <w:rFonts w:hint="eastAsia" w:ascii="仿宋_GB2312" w:hAnsi="宋体" w:eastAsia="仿宋_GB2312"/>
          <w:sz w:val="32"/>
          <w:szCs w:val="32"/>
        </w:rPr>
        <w:t xml:space="preserve"> “酬金”是指监理人履行本合同义务，委托人按照本合同约定给付监理人的金额。</w:t>
      </w:r>
    </w:p>
    <w:p w14:paraId="1D5705DF">
      <w:pPr>
        <w:adjustRightInd w:val="0"/>
        <w:snapToGrid w:val="0"/>
        <w:spacing w:line="360" w:lineRule="auto"/>
        <w:ind w:firstLine="633" w:firstLineChars="198"/>
        <w:rPr>
          <w:rFonts w:ascii="仿宋_GB2312" w:hAnsi="宋体" w:eastAsia="仿宋_GB2312"/>
          <w:sz w:val="32"/>
          <w:szCs w:val="32"/>
        </w:rPr>
      </w:pPr>
      <w:r>
        <w:rPr>
          <w:rFonts w:hint="eastAsia" w:ascii="仿宋_GB2312" w:eastAsia="仿宋_GB2312"/>
          <w:sz w:val="32"/>
          <w:szCs w:val="32"/>
        </w:rPr>
        <w:t xml:space="preserve">1.1.12 </w:t>
      </w:r>
      <w:r>
        <w:rPr>
          <w:rFonts w:hint="eastAsia" w:ascii="仿宋_GB2312" w:hAnsi="宋体" w:eastAsia="仿宋_GB2312"/>
          <w:sz w:val="32"/>
          <w:szCs w:val="32"/>
        </w:rPr>
        <w:t>“正常工作</w:t>
      </w:r>
      <w:r>
        <w:rPr>
          <w:rFonts w:hint="eastAsia" w:ascii="仿宋_GB2312" w:hAnsi="ˎ̥" w:eastAsia="仿宋_GB2312" w:cs="宋体"/>
          <w:sz w:val="32"/>
          <w:szCs w:val="32"/>
        </w:rPr>
        <w:t>酬金”</w:t>
      </w:r>
      <w:r>
        <w:rPr>
          <w:rFonts w:hint="eastAsia" w:ascii="仿宋_GB2312" w:hAnsi="宋体" w:eastAsia="仿宋_GB2312"/>
          <w:sz w:val="32"/>
          <w:szCs w:val="32"/>
        </w:rPr>
        <w:t>是指监理人完成正常工作，委托人应给付监理人并在协议书中载明的签约</w:t>
      </w:r>
      <w:r>
        <w:rPr>
          <w:rFonts w:hint="eastAsia" w:ascii="仿宋_GB2312" w:hAnsi="ˎ̥" w:eastAsia="仿宋_GB2312" w:cs="宋体"/>
          <w:sz w:val="32"/>
          <w:szCs w:val="32"/>
        </w:rPr>
        <w:t>酬金额</w:t>
      </w:r>
      <w:r>
        <w:rPr>
          <w:rFonts w:hint="eastAsia" w:ascii="仿宋_GB2312" w:hAnsi="宋体" w:eastAsia="仿宋_GB2312"/>
          <w:sz w:val="32"/>
          <w:szCs w:val="32"/>
        </w:rPr>
        <w:t>。</w:t>
      </w:r>
    </w:p>
    <w:p w14:paraId="2E89025F">
      <w:pPr>
        <w:adjustRightInd w:val="0"/>
        <w:snapToGrid w:val="0"/>
        <w:spacing w:line="360" w:lineRule="auto"/>
        <w:ind w:firstLine="633" w:firstLineChars="198"/>
        <w:rPr>
          <w:rFonts w:ascii="仿宋_GB2312" w:hAnsi="宋体" w:eastAsia="仿宋_GB2312"/>
          <w:sz w:val="32"/>
          <w:szCs w:val="32"/>
        </w:rPr>
      </w:pPr>
      <w:r>
        <w:rPr>
          <w:rFonts w:hint="eastAsia" w:ascii="仿宋_GB2312" w:eastAsia="仿宋_GB2312"/>
          <w:sz w:val="32"/>
          <w:szCs w:val="32"/>
        </w:rPr>
        <w:t xml:space="preserve">1.1.13 </w:t>
      </w:r>
      <w:r>
        <w:rPr>
          <w:rFonts w:hint="eastAsia" w:ascii="仿宋_GB2312" w:hAnsi="宋体" w:eastAsia="仿宋_GB2312"/>
          <w:sz w:val="32"/>
          <w:szCs w:val="32"/>
        </w:rPr>
        <w:t>“附加工作酬金”是指监理人完成附加工作，委托人应给付监理人的金额。</w:t>
      </w:r>
    </w:p>
    <w:p w14:paraId="592CBF7E">
      <w:pPr>
        <w:adjustRightInd w:val="0"/>
        <w:snapToGrid w:val="0"/>
        <w:spacing w:line="360" w:lineRule="auto"/>
        <w:ind w:firstLine="640" w:firstLineChars="200"/>
        <w:rPr>
          <w:rFonts w:ascii="仿宋_GB2312" w:hAnsi="宋体" w:eastAsia="仿宋_GB2312"/>
          <w:sz w:val="32"/>
          <w:szCs w:val="32"/>
        </w:rPr>
      </w:pPr>
      <w:r>
        <w:rPr>
          <w:rFonts w:hint="eastAsia" w:ascii="仿宋_GB2312" w:eastAsia="仿宋_GB2312"/>
          <w:sz w:val="32"/>
          <w:szCs w:val="32"/>
        </w:rPr>
        <w:t xml:space="preserve">1.1.14 </w:t>
      </w:r>
      <w:r>
        <w:rPr>
          <w:rFonts w:hint="eastAsia" w:ascii="仿宋_GB2312" w:hAnsi="宋体" w:eastAsia="仿宋_GB2312"/>
          <w:sz w:val="32"/>
          <w:szCs w:val="32"/>
        </w:rPr>
        <w:t>“一方”是指委托人或监理人</w:t>
      </w:r>
      <w:r>
        <w:rPr>
          <w:rFonts w:hint="eastAsia" w:ascii="仿宋_GB2312" w:eastAsia="仿宋_GB2312"/>
          <w:sz w:val="32"/>
          <w:szCs w:val="32"/>
        </w:rPr>
        <w:t>；</w:t>
      </w:r>
      <w:r>
        <w:rPr>
          <w:rFonts w:hint="eastAsia" w:ascii="仿宋_GB2312" w:hAnsi="宋体" w:eastAsia="仿宋_GB2312"/>
          <w:sz w:val="32"/>
          <w:szCs w:val="32"/>
        </w:rPr>
        <w:t>“双方”是指委托人和监理人</w:t>
      </w:r>
      <w:r>
        <w:rPr>
          <w:rFonts w:hint="eastAsia" w:ascii="仿宋_GB2312" w:eastAsia="仿宋_GB2312"/>
          <w:sz w:val="32"/>
          <w:szCs w:val="32"/>
        </w:rPr>
        <w:t>；</w:t>
      </w:r>
      <w:r>
        <w:rPr>
          <w:rFonts w:hint="eastAsia" w:ascii="仿宋_GB2312" w:hAnsi="宋体" w:eastAsia="仿宋_GB2312"/>
          <w:sz w:val="32"/>
          <w:szCs w:val="32"/>
        </w:rPr>
        <w:t>“第三方”是指除委托人和监理人以外的有关方。</w:t>
      </w:r>
    </w:p>
    <w:p w14:paraId="24BB1B78">
      <w:pPr>
        <w:adjustRightInd w:val="0"/>
        <w:snapToGrid w:val="0"/>
        <w:spacing w:line="360" w:lineRule="auto"/>
        <w:ind w:firstLine="640" w:firstLineChars="200"/>
        <w:rPr>
          <w:rFonts w:ascii="仿宋_GB2312" w:hAnsi="宋体" w:eastAsia="仿宋_GB2312"/>
          <w:sz w:val="32"/>
          <w:szCs w:val="32"/>
        </w:rPr>
      </w:pPr>
      <w:r>
        <w:rPr>
          <w:rFonts w:hint="eastAsia" w:ascii="仿宋_GB2312" w:hAnsi="宋体" w:eastAsia="仿宋_GB2312"/>
          <w:sz w:val="32"/>
          <w:szCs w:val="32"/>
        </w:rPr>
        <w:t>1.1.15 “书面形式”是指合同书、信件和数据电文（包括电报、电传、传真、电子数据交换和电子邮件）等可以有形地表现所载内容的形式。</w:t>
      </w:r>
    </w:p>
    <w:p w14:paraId="39198424">
      <w:pPr>
        <w:adjustRightInd w:val="0"/>
        <w:snapToGrid w:val="0"/>
        <w:spacing w:line="360" w:lineRule="auto"/>
        <w:ind w:firstLine="640" w:firstLineChars="200"/>
        <w:rPr>
          <w:rFonts w:ascii="仿宋_GB2312" w:hAnsi="宋体" w:eastAsia="仿宋_GB2312"/>
          <w:sz w:val="32"/>
          <w:szCs w:val="32"/>
        </w:rPr>
      </w:pPr>
      <w:r>
        <w:rPr>
          <w:rFonts w:hint="eastAsia" w:ascii="仿宋_GB2312" w:eastAsia="仿宋_GB2312"/>
          <w:sz w:val="32"/>
          <w:szCs w:val="32"/>
        </w:rPr>
        <w:t xml:space="preserve">1.1.16 </w:t>
      </w:r>
      <w:r>
        <w:rPr>
          <w:rFonts w:hint="eastAsia" w:ascii="仿宋_GB2312" w:hAnsi="宋体" w:eastAsia="仿宋_GB2312"/>
          <w:sz w:val="32"/>
          <w:szCs w:val="32"/>
        </w:rPr>
        <w:t>“天”是指第一天零时至第二天零时的时间。</w:t>
      </w:r>
    </w:p>
    <w:p w14:paraId="22EF1FBD">
      <w:pPr>
        <w:adjustRightInd w:val="0"/>
        <w:snapToGrid w:val="0"/>
        <w:spacing w:line="360" w:lineRule="auto"/>
        <w:ind w:firstLine="640" w:firstLineChars="200"/>
        <w:rPr>
          <w:rFonts w:ascii="仿宋_GB2312" w:hAnsi="宋体" w:eastAsia="仿宋_GB2312"/>
          <w:sz w:val="32"/>
          <w:szCs w:val="32"/>
        </w:rPr>
      </w:pPr>
      <w:r>
        <w:rPr>
          <w:rFonts w:hint="eastAsia" w:ascii="仿宋_GB2312" w:eastAsia="仿宋_GB2312"/>
          <w:sz w:val="32"/>
          <w:szCs w:val="32"/>
        </w:rPr>
        <w:t>1.1.17</w:t>
      </w:r>
      <w:r>
        <w:rPr>
          <w:rFonts w:hint="eastAsia" w:ascii="仿宋_GB2312" w:hAnsi="宋体" w:eastAsia="仿宋_GB2312"/>
          <w:sz w:val="32"/>
          <w:szCs w:val="32"/>
        </w:rPr>
        <w:t>“月”是指按公历从一个月中任何一天开始的一个公历月时间。</w:t>
      </w:r>
    </w:p>
    <w:p w14:paraId="4AA15426">
      <w:pPr>
        <w:adjustRightInd w:val="0"/>
        <w:snapToGrid w:val="0"/>
        <w:spacing w:line="360" w:lineRule="auto"/>
        <w:ind w:firstLine="645"/>
        <w:rPr>
          <w:sz w:val="30"/>
          <w:szCs w:val="30"/>
        </w:rPr>
      </w:pPr>
      <w:r>
        <w:rPr>
          <w:rFonts w:hint="eastAsia" w:ascii="仿宋_GB2312" w:eastAsia="仿宋_GB2312"/>
          <w:sz w:val="32"/>
          <w:szCs w:val="32"/>
        </w:rPr>
        <w:t>1.1.18 “不可抗力”是指委托人和监理人在订立本合同时不可预见，在工程施工过程中不可避免发生并不能克服的自然灾害和社会性突发事件，如地震、海啸、瘟疫、水灾、骚乱、暴动、战争和专用条件约定的其他情形。</w:t>
      </w:r>
    </w:p>
    <w:p w14:paraId="2A262261">
      <w:pPr>
        <w:adjustRightInd w:val="0"/>
        <w:snapToGrid w:val="0"/>
        <w:spacing w:line="360" w:lineRule="auto"/>
        <w:ind w:left="240" w:leftChars="100"/>
        <w:rPr>
          <w:rFonts w:ascii="仿宋_GB2312" w:eastAsia="仿宋_GB2312"/>
          <w:sz w:val="32"/>
          <w:szCs w:val="32"/>
        </w:rPr>
      </w:pPr>
      <w:r>
        <w:rPr>
          <w:rFonts w:hint="eastAsia" w:ascii="仿宋_GB2312" w:eastAsia="仿宋_GB2312"/>
          <w:bCs/>
          <w:sz w:val="32"/>
          <w:szCs w:val="32"/>
        </w:rPr>
        <w:t xml:space="preserve">1.2 </w:t>
      </w:r>
      <w:r>
        <w:rPr>
          <w:rFonts w:hint="eastAsia" w:ascii="仿宋_GB2312" w:hAnsi="宋体" w:eastAsia="仿宋_GB2312"/>
          <w:sz w:val="32"/>
          <w:szCs w:val="32"/>
        </w:rPr>
        <w:t>解释</w:t>
      </w:r>
    </w:p>
    <w:p w14:paraId="14019E49">
      <w:pPr>
        <w:tabs>
          <w:tab w:val="left" w:pos="6140"/>
        </w:tabs>
        <w:adjustRightInd w:val="0"/>
        <w:snapToGrid w:val="0"/>
        <w:spacing w:line="360" w:lineRule="auto"/>
        <w:ind w:firstLine="640" w:firstLineChars="200"/>
        <w:rPr>
          <w:rFonts w:ascii="仿宋_GB2312" w:hAnsi="宋体" w:eastAsia="仿宋_GB2312"/>
          <w:sz w:val="32"/>
          <w:szCs w:val="32"/>
        </w:rPr>
      </w:pPr>
      <w:r>
        <w:rPr>
          <w:rFonts w:hint="eastAsia" w:ascii="仿宋_GB2312" w:eastAsia="仿宋_GB2312"/>
          <w:sz w:val="32"/>
          <w:szCs w:val="32"/>
        </w:rPr>
        <w:t>1.2.1</w:t>
      </w:r>
      <w:r>
        <w:rPr>
          <w:rFonts w:hint="eastAsia" w:ascii="仿宋_GB2312" w:hAnsi="宋体" w:eastAsia="仿宋_GB2312"/>
          <w:sz w:val="32"/>
          <w:szCs w:val="32"/>
        </w:rPr>
        <w:t>本合同使用中文书写、解释和说明。如专用条件约定使用两种及以上语言文字时，应以中文为准。</w:t>
      </w:r>
    </w:p>
    <w:p w14:paraId="1D220F18">
      <w:pPr>
        <w:tabs>
          <w:tab w:val="left" w:pos="6140"/>
        </w:tabs>
        <w:adjustRightInd w:val="0"/>
        <w:snapToGrid w:val="0"/>
        <w:spacing w:line="360" w:lineRule="auto"/>
        <w:ind w:firstLine="640" w:firstLineChars="200"/>
        <w:rPr>
          <w:rFonts w:ascii="仿宋_GB2312" w:hAnsi="宋体" w:eastAsia="仿宋_GB2312"/>
          <w:sz w:val="32"/>
          <w:szCs w:val="32"/>
        </w:rPr>
      </w:pPr>
      <w:r>
        <w:rPr>
          <w:rFonts w:hint="eastAsia" w:ascii="仿宋_GB2312" w:eastAsia="仿宋_GB2312"/>
          <w:sz w:val="32"/>
          <w:szCs w:val="32"/>
        </w:rPr>
        <w:t xml:space="preserve">1.2.2 </w:t>
      </w:r>
      <w:r>
        <w:rPr>
          <w:rFonts w:hint="eastAsia" w:ascii="仿宋_GB2312" w:hAnsi="宋体" w:eastAsia="仿宋_GB2312"/>
          <w:sz w:val="32"/>
          <w:szCs w:val="32"/>
        </w:rPr>
        <w:t>组成本合同的下列文件彼此应能相互解释、互为说明。除专用条件另有约定外，本合同文件的解释顺序如下：</w:t>
      </w:r>
    </w:p>
    <w:p w14:paraId="3EA9C484">
      <w:pPr>
        <w:adjustRightInd w:val="0"/>
        <w:snapToGrid w:val="0"/>
        <w:spacing w:line="360" w:lineRule="auto"/>
        <w:ind w:firstLine="640" w:firstLineChars="200"/>
        <w:rPr>
          <w:rFonts w:ascii="仿宋_GB2312" w:eastAsia="仿宋_GB2312"/>
          <w:sz w:val="32"/>
          <w:szCs w:val="32"/>
        </w:rPr>
      </w:pPr>
      <w:r>
        <w:rPr>
          <w:rFonts w:hint="eastAsia" w:ascii="仿宋_GB2312" w:hAnsi="宋体" w:eastAsia="仿宋_GB2312"/>
          <w:sz w:val="32"/>
          <w:szCs w:val="32"/>
        </w:rPr>
        <w:t>（</w:t>
      </w:r>
      <w:r>
        <w:rPr>
          <w:rFonts w:hint="eastAsia" w:ascii="仿宋_GB2312" w:eastAsia="仿宋_GB2312"/>
          <w:sz w:val="32"/>
          <w:szCs w:val="32"/>
        </w:rPr>
        <w:t>1</w:t>
      </w:r>
      <w:r>
        <w:rPr>
          <w:rFonts w:hint="eastAsia" w:ascii="仿宋_GB2312" w:hAnsi="宋体" w:eastAsia="仿宋_GB2312"/>
          <w:sz w:val="32"/>
          <w:szCs w:val="32"/>
        </w:rPr>
        <w:t>）协议书；</w:t>
      </w:r>
    </w:p>
    <w:p w14:paraId="11E4C9A8">
      <w:pPr>
        <w:adjustRightInd w:val="0"/>
        <w:snapToGrid w:val="0"/>
        <w:spacing w:line="360" w:lineRule="auto"/>
        <w:ind w:firstLine="640" w:firstLineChars="200"/>
        <w:rPr>
          <w:rFonts w:ascii="仿宋_GB2312" w:eastAsia="仿宋_GB2312"/>
          <w:sz w:val="32"/>
          <w:szCs w:val="32"/>
        </w:rPr>
      </w:pPr>
      <w:r>
        <w:rPr>
          <w:rFonts w:hint="eastAsia" w:ascii="仿宋_GB2312" w:hAnsi="宋体" w:eastAsia="仿宋_GB2312"/>
          <w:sz w:val="32"/>
          <w:szCs w:val="32"/>
        </w:rPr>
        <w:t>（</w:t>
      </w:r>
      <w:r>
        <w:rPr>
          <w:rFonts w:hint="eastAsia" w:ascii="仿宋_GB2312" w:eastAsia="仿宋_GB2312"/>
          <w:sz w:val="32"/>
          <w:szCs w:val="32"/>
        </w:rPr>
        <w:t>2</w:t>
      </w:r>
      <w:r>
        <w:rPr>
          <w:rFonts w:hint="eastAsia" w:ascii="仿宋_GB2312" w:hAnsi="宋体" w:eastAsia="仿宋_GB2312"/>
          <w:sz w:val="32"/>
          <w:szCs w:val="32"/>
        </w:rPr>
        <w:t>）委托书（适用于非</w:t>
      </w:r>
      <w:r>
        <w:rPr>
          <w:rFonts w:hint="eastAsia" w:ascii="仿宋_GB2312" w:hAnsi="宋体" w:eastAsia="仿宋_GB2312"/>
          <w:sz w:val="32"/>
          <w:szCs w:val="32"/>
          <w:lang w:eastAsia="zh-CN"/>
        </w:rPr>
        <w:t>谈判</w:t>
      </w:r>
      <w:r>
        <w:rPr>
          <w:rFonts w:hint="eastAsia" w:ascii="仿宋_GB2312" w:hAnsi="宋体" w:eastAsia="仿宋_GB2312"/>
          <w:sz w:val="32"/>
          <w:szCs w:val="32"/>
        </w:rPr>
        <w:t>工程）；</w:t>
      </w:r>
    </w:p>
    <w:p w14:paraId="1118F35F">
      <w:pPr>
        <w:adjustRightInd w:val="0"/>
        <w:snapToGrid w:val="0"/>
        <w:spacing w:line="360" w:lineRule="auto"/>
        <w:ind w:firstLine="640" w:firstLineChars="200"/>
        <w:rPr>
          <w:rFonts w:ascii="仿宋_GB2312" w:eastAsia="仿宋_GB2312"/>
          <w:sz w:val="32"/>
          <w:szCs w:val="32"/>
        </w:rPr>
      </w:pPr>
      <w:r>
        <w:rPr>
          <w:rFonts w:hint="eastAsia" w:ascii="仿宋_GB2312" w:hAnsi="宋体" w:eastAsia="仿宋_GB2312"/>
          <w:sz w:val="32"/>
          <w:szCs w:val="32"/>
        </w:rPr>
        <w:t>（3）专用条件及附录</w:t>
      </w:r>
      <w:r>
        <w:rPr>
          <w:rFonts w:hint="eastAsia" w:ascii="仿宋_GB2312" w:eastAsia="仿宋_GB2312"/>
          <w:sz w:val="32"/>
          <w:szCs w:val="32"/>
        </w:rPr>
        <w:t>A</w:t>
      </w:r>
      <w:r>
        <w:rPr>
          <w:rFonts w:hint="eastAsia" w:ascii="仿宋_GB2312" w:hAnsi="宋体" w:eastAsia="仿宋_GB2312"/>
          <w:sz w:val="32"/>
          <w:szCs w:val="32"/>
        </w:rPr>
        <w:t>、附录</w:t>
      </w:r>
      <w:r>
        <w:rPr>
          <w:rFonts w:hint="eastAsia" w:ascii="仿宋_GB2312" w:eastAsia="仿宋_GB2312"/>
          <w:sz w:val="32"/>
          <w:szCs w:val="32"/>
        </w:rPr>
        <w:t>B</w:t>
      </w:r>
      <w:r>
        <w:rPr>
          <w:rFonts w:hint="eastAsia" w:ascii="仿宋_GB2312" w:hAnsi="宋体" w:eastAsia="仿宋_GB2312"/>
          <w:sz w:val="32"/>
          <w:szCs w:val="32"/>
        </w:rPr>
        <w:t>；</w:t>
      </w:r>
    </w:p>
    <w:p w14:paraId="053D45FA">
      <w:pPr>
        <w:adjustRightInd w:val="0"/>
        <w:snapToGrid w:val="0"/>
        <w:spacing w:line="360" w:lineRule="auto"/>
        <w:ind w:firstLine="640" w:firstLineChars="200"/>
        <w:rPr>
          <w:rFonts w:ascii="仿宋_GB2312" w:hAnsi="宋体" w:eastAsia="仿宋_GB2312"/>
          <w:sz w:val="32"/>
          <w:szCs w:val="32"/>
        </w:rPr>
      </w:pPr>
      <w:r>
        <w:rPr>
          <w:rFonts w:hint="eastAsia" w:ascii="仿宋_GB2312" w:hAnsi="宋体" w:eastAsia="仿宋_GB2312"/>
          <w:sz w:val="32"/>
          <w:szCs w:val="32"/>
        </w:rPr>
        <w:t>（</w:t>
      </w:r>
      <w:r>
        <w:rPr>
          <w:rFonts w:hint="eastAsia" w:ascii="仿宋_GB2312" w:eastAsia="仿宋_GB2312"/>
          <w:sz w:val="32"/>
          <w:szCs w:val="32"/>
        </w:rPr>
        <w:t>4</w:t>
      </w:r>
      <w:r>
        <w:rPr>
          <w:rFonts w:hint="eastAsia" w:ascii="仿宋_GB2312" w:hAnsi="宋体" w:eastAsia="仿宋_GB2312"/>
          <w:sz w:val="32"/>
          <w:szCs w:val="32"/>
        </w:rPr>
        <w:t>）通用条件；</w:t>
      </w:r>
    </w:p>
    <w:p w14:paraId="1AB23FB8">
      <w:pPr>
        <w:adjustRightInd w:val="0"/>
        <w:snapToGrid w:val="0"/>
        <w:spacing w:line="360" w:lineRule="auto"/>
        <w:ind w:firstLine="640" w:firstLineChars="200"/>
        <w:rPr>
          <w:rFonts w:ascii="仿宋_GB2312" w:hAnsi="宋体" w:eastAsia="仿宋_GB2312"/>
          <w:sz w:val="32"/>
          <w:szCs w:val="32"/>
        </w:rPr>
      </w:pPr>
      <w:r>
        <w:rPr>
          <w:rFonts w:hint="eastAsia" w:ascii="仿宋_GB2312" w:hAnsi="宋体" w:eastAsia="仿宋_GB2312"/>
          <w:sz w:val="32"/>
          <w:szCs w:val="32"/>
        </w:rPr>
        <w:t>（5）监理与相关服务建议书（适用于非</w:t>
      </w:r>
      <w:r>
        <w:rPr>
          <w:rFonts w:hint="eastAsia" w:ascii="仿宋_GB2312" w:hAnsi="宋体" w:eastAsia="仿宋_GB2312"/>
          <w:sz w:val="32"/>
          <w:szCs w:val="32"/>
          <w:lang w:eastAsia="zh-CN"/>
        </w:rPr>
        <w:t>谈判</w:t>
      </w:r>
      <w:r>
        <w:rPr>
          <w:rFonts w:hint="eastAsia" w:ascii="仿宋_GB2312" w:hAnsi="宋体" w:eastAsia="仿宋_GB2312"/>
          <w:sz w:val="32"/>
          <w:szCs w:val="32"/>
        </w:rPr>
        <w:t>工程）。</w:t>
      </w:r>
    </w:p>
    <w:p w14:paraId="43433CA7">
      <w:pPr>
        <w:spacing w:line="360" w:lineRule="auto"/>
        <w:ind w:firstLine="640" w:firstLineChars="200"/>
        <w:rPr>
          <w:rFonts w:ascii="仿宋_GB2312" w:hAnsi="宋体" w:eastAsia="仿宋_GB2312"/>
          <w:sz w:val="32"/>
          <w:szCs w:val="32"/>
        </w:rPr>
      </w:pPr>
      <w:r>
        <w:rPr>
          <w:rFonts w:hint="eastAsia" w:ascii="仿宋_GB2312" w:hAnsi="宋体" w:eastAsia="仿宋_GB2312"/>
          <w:sz w:val="32"/>
          <w:szCs w:val="32"/>
        </w:rPr>
        <w:t>双方签订的补充协议与其他文件发生矛盾或歧义时，属于同一类内容的文件，应以最新签署的为准。</w:t>
      </w:r>
    </w:p>
    <w:p w14:paraId="057A9F19">
      <w:pPr>
        <w:spacing w:line="360" w:lineRule="auto"/>
        <w:rPr>
          <w:rFonts w:ascii="仿宋_GB2312" w:hAnsi="黑体" w:eastAsia="仿宋_GB2312"/>
          <w:b/>
          <w:sz w:val="32"/>
          <w:szCs w:val="32"/>
        </w:rPr>
      </w:pPr>
      <w:r>
        <w:rPr>
          <w:rFonts w:hint="eastAsia" w:ascii="仿宋_GB2312" w:hAnsi="黑体" w:eastAsia="仿宋_GB2312"/>
          <w:b/>
          <w:sz w:val="32"/>
          <w:szCs w:val="32"/>
        </w:rPr>
        <w:t>2. 监理人的义务</w:t>
      </w:r>
    </w:p>
    <w:p w14:paraId="4C36400C">
      <w:pPr>
        <w:adjustRightInd w:val="0"/>
        <w:snapToGrid w:val="0"/>
        <w:spacing w:line="360" w:lineRule="auto"/>
        <w:ind w:left="240" w:leftChars="100"/>
        <w:rPr>
          <w:rFonts w:ascii="仿宋_GB2312" w:hAnsi="宋体" w:eastAsia="仿宋_GB2312"/>
          <w:bCs/>
          <w:sz w:val="32"/>
          <w:szCs w:val="32"/>
        </w:rPr>
      </w:pPr>
      <w:r>
        <w:rPr>
          <w:rFonts w:hint="eastAsia" w:ascii="仿宋_GB2312" w:eastAsia="仿宋_GB2312"/>
          <w:sz w:val="32"/>
          <w:szCs w:val="32"/>
        </w:rPr>
        <w:t xml:space="preserve">2.1 </w:t>
      </w:r>
      <w:r>
        <w:rPr>
          <w:rFonts w:hint="eastAsia" w:ascii="仿宋_GB2312" w:hAnsi="宋体" w:eastAsia="仿宋_GB2312"/>
          <w:sz w:val="32"/>
          <w:szCs w:val="32"/>
        </w:rPr>
        <w:t>监理的范围和工作内容</w:t>
      </w:r>
    </w:p>
    <w:p w14:paraId="5843EE84">
      <w:pPr>
        <w:adjustRightInd w:val="0"/>
        <w:snapToGrid w:val="0"/>
        <w:spacing w:line="360" w:lineRule="auto"/>
        <w:ind w:left="480" w:leftChars="200"/>
        <w:rPr>
          <w:rFonts w:ascii="仿宋_GB2312" w:hAnsi="宋体" w:eastAsia="仿宋_GB2312"/>
          <w:sz w:val="32"/>
          <w:szCs w:val="32"/>
        </w:rPr>
      </w:pPr>
      <w:r>
        <w:rPr>
          <w:rFonts w:hint="eastAsia" w:ascii="仿宋_GB2312" w:hAnsi="宋体" w:eastAsia="仿宋_GB2312"/>
          <w:sz w:val="32"/>
          <w:szCs w:val="32"/>
        </w:rPr>
        <w:t>2.1.1 监理范围在专用条件中约定。</w:t>
      </w:r>
    </w:p>
    <w:p w14:paraId="412215D8">
      <w:pPr>
        <w:adjustRightInd w:val="0"/>
        <w:snapToGrid w:val="0"/>
        <w:spacing w:line="360" w:lineRule="auto"/>
        <w:ind w:left="480" w:leftChars="200"/>
        <w:rPr>
          <w:rFonts w:ascii="仿宋_GB2312" w:eastAsia="仿宋_GB2312"/>
          <w:sz w:val="32"/>
          <w:szCs w:val="32"/>
        </w:rPr>
      </w:pPr>
      <w:r>
        <w:rPr>
          <w:rFonts w:hint="eastAsia" w:ascii="仿宋_GB2312" w:hAnsi="宋体" w:eastAsia="仿宋_GB2312"/>
          <w:sz w:val="32"/>
          <w:szCs w:val="32"/>
        </w:rPr>
        <w:t>2.1.2 除专用条件另有约定外，监理工作内容包括：</w:t>
      </w:r>
    </w:p>
    <w:p w14:paraId="53ACDBC8">
      <w:pPr>
        <w:adjustRightInd w:val="0"/>
        <w:snapToGrid w:val="0"/>
        <w:spacing w:line="360" w:lineRule="auto"/>
        <w:ind w:firstLine="640" w:firstLineChars="200"/>
        <w:rPr>
          <w:rFonts w:ascii="仿宋_GB2312" w:hAnsi="宋体" w:eastAsia="仿宋_GB2312"/>
          <w:sz w:val="32"/>
          <w:szCs w:val="32"/>
        </w:rPr>
      </w:pPr>
      <w:r>
        <w:rPr>
          <w:rFonts w:hint="eastAsia" w:ascii="仿宋_GB2312" w:hAnsi="宋体" w:eastAsia="仿宋_GB2312"/>
          <w:sz w:val="32"/>
          <w:szCs w:val="32"/>
        </w:rPr>
        <w:t>（</w:t>
      </w:r>
      <w:r>
        <w:rPr>
          <w:rFonts w:hint="eastAsia" w:ascii="仿宋_GB2312" w:eastAsia="仿宋_GB2312"/>
          <w:sz w:val="32"/>
          <w:szCs w:val="32"/>
        </w:rPr>
        <w:t>1</w:t>
      </w:r>
      <w:r>
        <w:rPr>
          <w:rFonts w:hint="eastAsia" w:ascii="仿宋_GB2312" w:hAnsi="宋体" w:eastAsia="仿宋_GB2312"/>
          <w:sz w:val="32"/>
          <w:szCs w:val="32"/>
        </w:rPr>
        <w:t>）</w:t>
      </w:r>
      <w:r>
        <w:rPr>
          <w:rFonts w:hint="eastAsia" w:ascii="仿宋_GB2312" w:eastAsia="仿宋_GB2312"/>
          <w:sz w:val="32"/>
          <w:szCs w:val="32"/>
        </w:rPr>
        <w:t>收到工程设计文件后</w:t>
      </w:r>
      <w:r>
        <w:rPr>
          <w:rFonts w:hint="eastAsia" w:ascii="仿宋_GB2312" w:hAnsi="宋体" w:eastAsia="仿宋_GB2312"/>
          <w:sz w:val="32"/>
          <w:szCs w:val="32"/>
        </w:rPr>
        <w:t>编制监理规划，并在第一次工地会议7天前报委托人。根据有关规定和监理工作需要，编制监理实施细则；</w:t>
      </w:r>
    </w:p>
    <w:p w14:paraId="2978591B">
      <w:pPr>
        <w:adjustRightInd w:val="0"/>
        <w:snapToGrid w:val="0"/>
        <w:spacing w:line="360" w:lineRule="auto"/>
        <w:ind w:firstLine="640" w:firstLineChars="200"/>
        <w:rPr>
          <w:rFonts w:ascii="仿宋_GB2312" w:eastAsia="仿宋_GB2312"/>
          <w:sz w:val="32"/>
          <w:szCs w:val="32"/>
        </w:rPr>
      </w:pPr>
      <w:r>
        <w:rPr>
          <w:rFonts w:hint="eastAsia" w:ascii="仿宋_GB2312" w:hAnsi="宋体" w:eastAsia="仿宋_GB2312"/>
          <w:sz w:val="32"/>
          <w:szCs w:val="32"/>
        </w:rPr>
        <w:t>（</w:t>
      </w:r>
      <w:r>
        <w:rPr>
          <w:rFonts w:hint="eastAsia" w:ascii="仿宋_GB2312" w:eastAsia="仿宋_GB2312"/>
          <w:sz w:val="32"/>
          <w:szCs w:val="32"/>
        </w:rPr>
        <w:t>2</w:t>
      </w:r>
      <w:r>
        <w:rPr>
          <w:rFonts w:hint="eastAsia" w:ascii="仿宋_GB2312" w:hAnsi="宋体" w:eastAsia="仿宋_GB2312"/>
          <w:sz w:val="32"/>
          <w:szCs w:val="32"/>
        </w:rPr>
        <w:t>）熟悉工程设计文件，并参加由委托人主持的图纸会审和设计交底会议；</w:t>
      </w:r>
    </w:p>
    <w:p w14:paraId="08FF254C">
      <w:pPr>
        <w:adjustRightInd w:val="0"/>
        <w:snapToGrid w:val="0"/>
        <w:spacing w:line="360" w:lineRule="auto"/>
        <w:ind w:firstLine="640" w:firstLineChars="200"/>
        <w:rPr>
          <w:rFonts w:ascii="仿宋_GB2312" w:hAnsi="宋体" w:eastAsia="仿宋_GB2312"/>
          <w:sz w:val="32"/>
          <w:szCs w:val="32"/>
        </w:rPr>
      </w:pPr>
      <w:r>
        <w:rPr>
          <w:rFonts w:hint="eastAsia" w:ascii="仿宋_GB2312" w:hAnsi="宋体" w:eastAsia="仿宋_GB2312"/>
          <w:sz w:val="32"/>
          <w:szCs w:val="32"/>
        </w:rPr>
        <w:t>（</w:t>
      </w:r>
      <w:r>
        <w:rPr>
          <w:rFonts w:hint="eastAsia" w:ascii="仿宋_GB2312" w:eastAsia="仿宋_GB2312"/>
          <w:sz w:val="32"/>
          <w:szCs w:val="32"/>
        </w:rPr>
        <w:t>3</w:t>
      </w:r>
      <w:r>
        <w:rPr>
          <w:rFonts w:hint="eastAsia" w:ascii="仿宋_GB2312" w:hAnsi="宋体" w:eastAsia="仿宋_GB2312"/>
          <w:sz w:val="32"/>
          <w:szCs w:val="32"/>
        </w:rPr>
        <w:t>）参加由委托人主持的第一次工地会议；主持监理例会并根据工程需要主持或参加专题会议；</w:t>
      </w:r>
    </w:p>
    <w:p w14:paraId="3F4688D6">
      <w:pPr>
        <w:adjustRightInd w:val="0"/>
        <w:snapToGrid w:val="0"/>
        <w:spacing w:line="360" w:lineRule="auto"/>
        <w:rPr>
          <w:rFonts w:ascii="仿宋_GB2312" w:eastAsia="仿宋_GB2312"/>
          <w:sz w:val="32"/>
          <w:szCs w:val="32"/>
        </w:rPr>
      </w:pPr>
      <w:r>
        <w:rPr>
          <w:rFonts w:hint="eastAsia" w:ascii="仿宋_GB2312" w:hAnsi="宋体" w:eastAsia="仿宋_GB2312"/>
          <w:sz w:val="32"/>
          <w:szCs w:val="32"/>
        </w:rPr>
        <w:t xml:space="preserve">    （</w:t>
      </w:r>
      <w:r>
        <w:rPr>
          <w:rFonts w:hint="eastAsia" w:ascii="仿宋_GB2312" w:eastAsia="仿宋_GB2312"/>
          <w:sz w:val="32"/>
          <w:szCs w:val="32"/>
        </w:rPr>
        <w:t>4</w:t>
      </w:r>
      <w:r>
        <w:rPr>
          <w:rFonts w:hint="eastAsia" w:ascii="仿宋_GB2312" w:hAnsi="宋体" w:eastAsia="仿宋_GB2312"/>
          <w:sz w:val="32"/>
          <w:szCs w:val="32"/>
        </w:rPr>
        <w:t>）审查施工承包人提交的施工组织设计，重点审查其中的质量安全技术措施、专项施工方案与工程建设强制性标准的符合性；</w:t>
      </w:r>
    </w:p>
    <w:p w14:paraId="0FFC4460">
      <w:pPr>
        <w:adjustRightInd w:val="0"/>
        <w:snapToGrid w:val="0"/>
        <w:spacing w:line="360" w:lineRule="auto"/>
        <w:ind w:firstLine="645"/>
        <w:rPr>
          <w:rFonts w:ascii="仿宋_GB2312" w:eastAsia="仿宋_GB2312"/>
          <w:sz w:val="32"/>
          <w:szCs w:val="32"/>
        </w:rPr>
      </w:pPr>
      <w:r>
        <w:rPr>
          <w:rFonts w:hint="eastAsia" w:ascii="仿宋_GB2312" w:hAnsi="宋体" w:eastAsia="仿宋_GB2312"/>
          <w:sz w:val="32"/>
          <w:szCs w:val="32"/>
        </w:rPr>
        <w:t>（</w:t>
      </w:r>
      <w:r>
        <w:rPr>
          <w:rFonts w:hint="eastAsia" w:ascii="仿宋_GB2312" w:eastAsia="仿宋_GB2312"/>
          <w:sz w:val="32"/>
          <w:szCs w:val="32"/>
        </w:rPr>
        <w:t>5</w:t>
      </w:r>
      <w:r>
        <w:rPr>
          <w:rFonts w:hint="eastAsia" w:ascii="仿宋_GB2312" w:hAnsi="宋体" w:eastAsia="仿宋_GB2312"/>
          <w:sz w:val="32"/>
          <w:szCs w:val="32"/>
        </w:rPr>
        <w:t>）检查施工承包人工程质量、安全生产管理制度及组织机构和人员资格；</w:t>
      </w:r>
      <w:r>
        <w:rPr>
          <w:rFonts w:hint="eastAsia" w:ascii="仿宋_GB2312" w:eastAsia="仿宋_GB2312"/>
          <w:sz w:val="32"/>
          <w:szCs w:val="32"/>
        </w:rPr>
        <w:t xml:space="preserve"> </w:t>
      </w:r>
    </w:p>
    <w:p w14:paraId="5BD7C70D">
      <w:pPr>
        <w:adjustRightInd w:val="0"/>
        <w:snapToGrid w:val="0"/>
        <w:spacing w:line="360" w:lineRule="auto"/>
        <w:rPr>
          <w:rFonts w:ascii="仿宋_GB2312" w:eastAsia="仿宋_GB2312"/>
          <w:sz w:val="32"/>
          <w:szCs w:val="32"/>
        </w:rPr>
      </w:pPr>
      <w:r>
        <w:rPr>
          <w:rFonts w:hint="eastAsia" w:ascii="仿宋_GB2312" w:hAnsi="宋体" w:eastAsia="仿宋_GB2312"/>
          <w:sz w:val="32"/>
          <w:szCs w:val="32"/>
        </w:rPr>
        <w:t xml:space="preserve">    （</w:t>
      </w:r>
      <w:r>
        <w:rPr>
          <w:rFonts w:hint="eastAsia" w:ascii="仿宋_GB2312" w:eastAsia="仿宋_GB2312"/>
          <w:sz w:val="32"/>
          <w:szCs w:val="32"/>
        </w:rPr>
        <w:t>6</w:t>
      </w:r>
      <w:r>
        <w:rPr>
          <w:rFonts w:hint="eastAsia" w:ascii="仿宋_GB2312" w:hAnsi="宋体" w:eastAsia="仿宋_GB2312"/>
          <w:sz w:val="32"/>
          <w:szCs w:val="32"/>
        </w:rPr>
        <w:t>）检查施工承包人专职安全生产管理人员的配备情况；</w:t>
      </w:r>
    </w:p>
    <w:p w14:paraId="7FFC360E">
      <w:pPr>
        <w:adjustRightInd w:val="0"/>
        <w:snapToGrid w:val="0"/>
        <w:spacing w:line="360" w:lineRule="auto"/>
        <w:rPr>
          <w:rFonts w:ascii="仿宋_GB2312" w:eastAsia="仿宋_GB2312"/>
          <w:sz w:val="32"/>
          <w:szCs w:val="32"/>
        </w:rPr>
      </w:pPr>
      <w:r>
        <w:rPr>
          <w:rFonts w:hint="eastAsia" w:ascii="仿宋_GB2312" w:hAnsi="宋体" w:eastAsia="仿宋_GB2312"/>
          <w:sz w:val="32"/>
          <w:szCs w:val="32"/>
        </w:rPr>
        <w:t xml:space="preserve">    （</w:t>
      </w:r>
      <w:r>
        <w:rPr>
          <w:rFonts w:hint="eastAsia" w:ascii="仿宋_GB2312" w:eastAsia="仿宋_GB2312"/>
          <w:sz w:val="32"/>
          <w:szCs w:val="32"/>
        </w:rPr>
        <w:t>7</w:t>
      </w:r>
      <w:r>
        <w:rPr>
          <w:rFonts w:hint="eastAsia" w:ascii="仿宋_GB2312" w:hAnsi="宋体" w:eastAsia="仿宋_GB2312"/>
          <w:sz w:val="32"/>
          <w:szCs w:val="32"/>
        </w:rPr>
        <w:t>）审查施工承包人提交的施工进度计划，核查承包人对施工进度计划的调整；</w:t>
      </w:r>
    </w:p>
    <w:p w14:paraId="09B2AC5A">
      <w:pPr>
        <w:adjustRightInd w:val="0"/>
        <w:snapToGrid w:val="0"/>
        <w:spacing w:line="360" w:lineRule="auto"/>
        <w:ind w:firstLine="645"/>
        <w:rPr>
          <w:rFonts w:ascii="仿宋_GB2312" w:hAnsi="宋体" w:eastAsia="仿宋_GB2312"/>
          <w:sz w:val="32"/>
          <w:szCs w:val="32"/>
        </w:rPr>
      </w:pPr>
      <w:r>
        <w:rPr>
          <w:rFonts w:hint="eastAsia" w:ascii="仿宋_GB2312" w:hAnsi="宋体" w:eastAsia="仿宋_GB2312"/>
          <w:sz w:val="32"/>
          <w:szCs w:val="32"/>
        </w:rPr>
        <w:t>（</w:t>
      </w:r>
      <w:r>
        <w:rPr>
          <w:rFonts w:hint="eastAsia" w:ascii="仿宋_GB2312" w:eastAsia="仿宋_GB2312"/>
          <w:sz w:val="32"/>
          <w:szCs w:val="32"/>
        </w:rPr>
        <w:t>8</w:t>
      </w:r>
      <w:r>
        <w:rPr>
          <w:rFonts w:hint="eastAsia" w:ascii="仿宋_GB2312" w:hAnsi="宋体" w:eastAsia="仿宋_GB2312"/>
          <w:sz w:val="32"/>
          <w:szCs w:val="32"/>
        </w:rPr>
        <w:t>）检查施工承包人的试验室；</w:t>
      </w:r>
    </w:p>
    <w:p w14:paraId="268AB683">
      <w:pPr>
        <w:adjustRightInd w:val="0"/>
        <w:snapToGrid w:val="0"/>
        <w:spacing w:line="360" w:lineRule="auto"/>
        <w:rPr>
          <w:rFonts w:ascii="仿宋_GB2312" w:eastAsia="仿宋_GB2312"/>
          <w:sz w:val="32"/>
          <w:szCs w:val="32"/>
        </w:rPr>
      </w:pPr>
      <w:r>
        <w:rPr>
          <w:rFonts w:hint="eastAsia" w:ascii="仿宋_GB2312" w:hAnsi="宋体" w:eastAsia="仿宋_GB2312"/>
          <w:sz w:val="32"/>
          <w:szCs w:val="32"/>
        </w:rPr>
        <w:t xml:space="preserve">    （</w:t>
      </w:r>
      <w:r>
        <w:rPr>
          <w:rFonts w:hint="eastAsia" w:ascii="仿宋_GB2312" w:eastAsia="仿宋_GB2312"/>
          <w:sz w:val="32"/>
          <w:szCs w:val="32"/>
        </w:rPr>
        <w:t>9</w:t>
      </w:r>
      <w:r>
        <w:rPr>
          <w:rFonts w:hint="eastAsia" w:ascii="仿宋_GB2312" w:hAnsi="宋体" w:eastAsia="仿宋_GB2312"/>
          <w:sz w:val="32"/>
          <w:szCs w:val="32"/>
        </w:rPr>
        <w:t>）审核施工分包人资质条件；</w:t>
      </w:r>
    </w:p>
    <w:p w14:paraId="328893CF">
      <w:pPr>
        <w:rPr>
          <w:rFonts w:ascii="仿宋_GB2312" w:hAnsi="宋体" w:eastAsia="仿宋_GB2312"/>
          <w:sz w:val="32"/>
          <w:szCs w:val="32"/>
        </w:rPr>
      </w:pPr>
      <w:r>
        <w:rPr>
          <w:rFonts w:hint="eastAsia" w:ascii="仿宋_GB2312" w:hAnsi="宋体" w:eastAsia="仿宋_GB2312"/>
          <w:sz w:val="32"/>
          <w:szCs w:val="32"/>
        </w:rPr>
        <w:t xml:space="preserve">    （</w:t>
      </w:r>
      <w:r>
        <w:rPr>
          <w:rFonts w:hint="eastAsia" w:ascii="仿宋_GB2312" w:eastAsia="仿宋_GB2312"/>
          <w:sz w:val="32"/>
          <w:szCs w:val="32"/>
        </w:rPr>
        <w:t>10</w:t>
      </w:r>
      <w:r>
        <w:rPr>
          <w:rFonts w:hint="eastAsia" w:ascii="仿宋_GB2312" w:hAnsi="宋体" w:eastAsia="仿宋_GB2312"/>
          <w:sz w:val="32"/>
          <w:szCs w:val="32"/>
        </w:rPr>
        <w:t>）查验施工承包人的施工测量放线成果；</w:t>
      </w:r>
    </w:p>
    <w:p w14:paraId="3C9B4C55">
      <w:pPr>
        <w:adjustRightInd w:val="0"/>
        <w:snapToGrid w:val="0"/>
        <w:spacing w:line="360" w:lineRule="auto"/>
        <w:ind w:firstLine="645"/>
        <w:rPr>
          <w:rFonts w:ascii="仿宋_GB2312" w:hAnsi="宋体" w:eastAsia="仿宋_GB2312"/>
          <w:sz w:val="32"/>
          <w:szCs w:val="32"/>
        </w:rPr>
      </w:pPr>
      <w:r>
        <w:rPr>
          <w:rFonts w:hint="eastAsia" w:ascii="仿宋_GB2312" w:hAnsi="宋体" w:eastAsia="仿宋_GB2312"/>
          <w:sz w:val="32"/>
          <w:szCs w:val="32"/>
        </w:rPr>
        <w:t>（</w:t>
      </w:r>
      <w:r>
        <w:rPr>
          <w:rFonts w:hint="eastAsia" w:ascii="仿宋_GB2312" w:eastAsia="仿宋_GB2312"/>
          <w:sz w:val="32"/>
          <w:szCs w:val="32"/>
        </w:rPr>
        <w:t>11</w:t>
      </w:r>
      <w:r>
        <w:rPr>
          <w:rFonts w:hint="eastAsia" w:ascii="仿宋_GB2312" w:hAnsi="宋体" w:eastAsia="仿宋_GB2312"/>
          <w:sz w:val="32"/>
          <w:szCs w:val="32"/>
        </w:rPr>
        <w:t>）审查工程开工条件</w:t>
      </w:r>
      <w:r>
        <w:rPr>
          <w:rFonts w:hint="eastAsia" w:ascii="仿宋_GB2312" w:eastAsia="仿宋_GB2312"/>
          <w:sz w:val="32"/>
          <w:szCs w:val="32"/>
        </w:rPr>
        <w:t>，对条件具备的</w:t>
      </w:r>
      <w:r>
        <w:rPr>
          <w:rFonts w:hint="eastAsia" w:ascii="仿宋_GB2312" w:hAnsi="宋体" w:eastAsia="仿宋_GB2312"/>
          <w:sz w:val="32"/>
          <w:szCs w:val="32"/>
        </w:rPr>
        <w:t>签发开工令；</w:t>
      </w:r>
    </w:p>
    <w:p w14:paraId="2CCC3471">
      <w:pPr>
        <w:adjustRightInd w:val="0"/>
        <w:snapToGrid w:val="0"/>
        <w:spacing w:line="360" w:lineRule="auto"/>
        <w:ind w:firstLine="645"/>
        <w:rPr>
          <w:rFonts w:ascii="仿宋_GB2312" w:hAnsi="宋体" w:eastAsia="仿宋_GB2312"/>
          <w:sz w:val="32"/>
          <w:szCs w:val="32"/>
        </w:rPr>
      </w:pPr>
      <w:r>
        <w:rPr>
          <w:rFonts w:hint="eastAsia" w:ascii="仿宋_GB2312" w:hAnsi="宋体" w:eastAsia="仿宋_GB2312"/>
          <w:sz w:val="32"/>
          <w:szCs w:val="32"/>
        </w:rPr>
        <w:t>（</w:t>
      </w:r>
      <w:r>
        <w:rPr>
          <w:rFonts w:hint="eastAsia" w:ascii="仿宋_GB2312" w:eastAsia="仿宋_GB2312"/>
          <w:sz w:val="32"/>
          <w:szCs w:val="32"/>
        </w:rPr>
        <w:t>12</w:t>
      </w:r>
      <w:r>
        <w:rPr>
          <w:rFonts w:hint="eastAsia" w:ascii="仿宋_GB2312" w:hAnsi="宋体" w:eastAsia="仿宋_GB2312"/>
          <w:sz w:val="32"/>
          <w:szCs w:val="32"/>
        </w:rPr>
        <w:t>）审查施工承包人报送的工程材料、构配件、设备质量证明文件的有效性和符合性，并按规定对用于工程的材料采取平行检验或见证取样方式进行抽检；</w:t>
      </w:r>
    </w:p>
    <w:p w14:paraId="3104AB8B">
      <w:pPr>
        <w:adjustRightInd w:val="0"/>
        <w:snapToGrid w:val="0"/>
        <w:spacing w:line="360" w:lineRule="auto"/>
        <w:ind w:left="-110" w:leftChars="-46"/>
        <w:rPr>
          <w:rFonts w:ascii="仿宋_GB2312" w:hAnsi="宋体" w:eastAsia="仿宋_GB2312"/>
          <w:sz w:val="32"/>
          <w:szCs w:val="32"/>
        </w:rPr>
      </w:pPr>
      <w:r>
        <w:rPr>
          <w:rFonts w:hint="eastAsia" w:ascii="仿宋_GB2312" w:hAnsi="宋体" w:eastAsia="仿宋_GB2312"/>
          <w:sz w:val="32"/>
          <w:szCs w:val="32"/>
        </w:rPr>
        <w:t xml:space="preserve">     （</w:t>
      </w:r>
      <w:r>
        <w:rPr>
          <w:rFonts w:hint="eastAsia" w:ascii="仿宋_GB2312" w:eastAsia="仿宋_GB2312"/>
          <w:sz w:val="32"/>
          <w:szCs w:val="32"/>
        </w:rPr>
        <w:t>13</w:t>
      </w:r>
      <w:r>
        <w:rPr>
          <w:rFonts w:hint="eastAsia" w:ascii="仿宋_GB2312" w:hAnsi="宋体" w:eastAsia="仿宋_GB2312"/>
          <w:sz w:val="32"/>
          <w:szCs w:val="32"/>
        </w:rPr>
        <w:t>）审核施工承包人提交的工程款支付申请，签发或出具工程款支付证书，并报委托人审核、批准；</w:t>
      </w:r>
    </w:p>
    <w:p w14:paraId="1B35BAD5">
      <w:pPr>
        <w:adjustRightInd w:val="0"/>
        <w:snapToGrid w:val="0"/>
        <w:spacing w:line="360" w:lineRule="auto"/>
        <w:ind w:firstLine="645"/>
        <w:rPr>
          <w:rFonts w:ascii="仿宋_GB2312" w:hAnsi="宋体" w:eastAsia="仿宋_GB2312"/>
          <w:sz w:val="32"/>
          <w:szCs w:val="32"/>
        </w:rPr>
      </w:pPr>
      <w:r>
        <w:rPr>
          <w:rFonts w:hint="eastAsia" w:ascii="仿宋_GB2312" w:hAnsi="宋体" w:eastAsia="仿宋_GB2312"/>
          <w:sz w:val="32"/>
          <w:szCs w:val="32"/>
        </w:rPr>
        <w:t>（</w:t>
      </w:r>
      <w:r>
        <w:rPr>
          <w:rFonts w:hint="eastAsia" w:ascii="仿宋_GB2312" w:eastAsia="仿宋_GB2312"/>
          <w:sz w:val="32"/>
          <w:szCs w:val="32"/>
        </w:rPr>
        <w:t>14</w:t>
      </w:r>
      <w:r>
        <w:rPr>
          <w:rFonts w:hint="eastAsia" w:ascii="仿宋_GB2312" w:hAnsi="宋体" w:eastAsia="仿宋_GB2312"/>
          <w:sz w:val="32"/>
          <w:szCs w:val="32"/>
        </w:rPr>
        <w:t>）在巡视、旁站和检验过程中，发现工程质量、施工安全存在事故隐患的</w:t>
      </w:r>
      <w:r>
        <w:rPr>
          <w:rFonts w:hint="eastAsia" w:ascii="仿宋_GB2312" w:eastAsia="仿宋_GB2312"/>
          <w:sz w:val="32"/>
          <w:szCs w:val="32"/>
        </w:rPr>
        <w:t>，</w:t>
      </w:r>
      <w:r>
        <w:rPr>
          <w:rFonts w:hint="eastAsia" w:ascii="仿宋_GB2312" w:hAnsi="宋体" w:eastAsia="仿宋_GB2312"/>
          <w:sz w:val="32"/>
          <w:szCs w:val="32"/>
        </w:rPr>
        <w:t>要求施工承包人整改并报委托人；</w:t>
      </w:r>
    </w:p>
    <w:p w14:paraId="774D2DDB">
      <w:pPr>
        <w:adjustRightInd w:val="0"/>
        <w:snapToGrid w:val="0"/>
        <w:spacing w:line="360" w:lineRule="auto"/>
        <w:ind w:firstLine="640" w:firstLineChars="200"/>
        <w:rPr>
          <w:rFonts w:ascii="仿宋_GB2312" w:hAnsi="宋体" w:eastAsia="仿宋_GB2312"/>
          <w:sz w:val="32"/>
          <w:szCs w:val="32"/>
        </w:rPr>
      </w:pPr>
      <w:r>
        <w:rPr>
          <w:rFonts w:hint="eastAsia" w:ascii="仿宋_GB2312" w:hAnsi="宋体" w:eastAsia="仿宋_GB2312"/>
          <w:sz w:val="32"/>
          <w:szCs w:val="32"/>
        </w:rPr>
        <w:t>（</w:t>
      </w:r>
      <w:r>
        <w:rPr>
          <w:rFonts w:hint="eastAsia" w:ascii="仿宋_GB2312" w:eastAsia="仿宋_GB2312"/>
          <w:sz w:val="32"/>
          <w:szCs w:val="32"/>
        </w:rPr>
        <w:t>15</w:t>
      </w:r>
      <w:r>
        <w:rPr>
          <w:rFonts w:hint="eastAsia" w:ascii="仿宋_GB2312" w:hAnsi="宋体" w:eastAsia="仿宋_GB2312"/>
          <w:sz w:val="32"/>
          <w:szCs w:val="32"/>
        </w:rPr>
        <w:t>）经委托人同意，签发工程暂停令和复工令；</w:t>
      </w:r>
    </w:p>
    <w:p w14:paraId="66E51867">
      <w:pPr>
        <w:adjustRightInd w:val="0"/>
        <w:snapToGrid w:val="0"/>
        <w:spacing w:line="360" w:lineRule="auto"/>
        <w:rPr>
          <w:rFonts w:ascii="仿宋_GB2312" w:eastAsia="仿宋_GB2312"/>
          <w:sz w:val="32"/>
          <w:szCs w:val="32"/>
        </w:rPr>
      </w:pPr>
      <w:r>
        <w:rPr>
          <w:rFonts w:hint="eastAsia" w:ascii="仿宋_GB2312" w:hAnsi="宋体" w:eastAsia="仿宋_GB2312"/>
          <w:sz w:val="32"/>
          <w:szCs w:val="32"/>
        </w:rPr>
        <w:t xml:space="preserve">    （</w:t>
      </w:r>
      <w:r>
        <w:rPr>
          <w:rFonts w:hint="eastAsia" w:ascii="仿宋_GB2312" w:eastAsia="仿宋_GB2312"/>
          <w:sz w:val="32"/>
          <w:szCs w:val="32"/>
        </w:rPr>
        <w:t>16</w:t>
      </w:r>
      <w:r>
        <w:rPr>
          <w:rFonts w:hint="eastAsia" w:ascii="仿宋_GB2312" w:hAnsi="宋体" w:eastAsia="仿宋_GB2312"/>
          <w:sz w:val="32"/>
          <w:szCs w:val="32"/>
        </w:rPr>
        <w:t>）审查施工承包人提交的采用新材料、新工艺、新技术、新设备的论证材料及相关验收标准；</w:t>
      </w:r>
    </w:p>
    <w:p w14:paraId="7DE60C58">
      <w:pPr>
        <w:adjustRightInd w:val="0"/>
        <w:snapToGrid w:val="0"/>
        <w:spacing w:line="360" w:lineRule="auto"/>
        <w:ind w:firstLine="660"/>
        <w:rPr>
          <w:rFonts w:ascii="仿宋_GB2312" w:hAnsi="宋体" w:eastAsia="仿宋_GB2312"/>
          <w:sz w:val="32"/>
          <w:szCs w:val="32"/>
        </w:rPr>
      </w:pPr>
      <w:r>
        <w:rPr>
          <w:rFonts w:hint="eastAsia" w:ascii="仿宋_GB2312" w:hAnsi="宋体" w:eastAsia="仿宋_GB2312"/>
          <w:sz w:val="32"/>
          <w:szCs w:val="32"/>
        </w:rPr>
        <w:t>（</w:t>
      </w:r>
      <w:r>
        <w:rPr>
          <w:rFonts w:hint="eastAsia" w:ascii="仿宋_GB2312" w:eastAsia="仿宋_GB2312"/>
          <w:sz w:val="32"/>
          <w:szCs w:val="32"/>
        </w:rPr>
        <w:t>17</w:t>
      </w:r>
      <w:r>
        <w:rPr>
          <w:rFonts w:hint="eastAsia" w:ascii="仿宋_GB2312" w:hAnsi="宋体" w:eastAsia="仿宋_GB2312"/>
          <w:sz w:val="32"/>
          <w:szCs w:val="32"/>
        </w:rPr>
        <w:t>）验收隐蔽工程、分部分项工程；</w:t>
      </w:r>
    </w:p>
    <w:p w14:paraId="7D747F81">
      <w:pPr>
        <w:adjustRightInd w:val="0"/>
        <w:snapToGrid w:val="0"/>
        <w:spacing w:line="360" w:lineRule="auto"/>
        <w:rPr>
          <w:rFonts w:ascii="仿宋_GB2312" w:eastAsia="仿宋_GB2312"/>
          <w:sz w:val="32"/>
          <w:szCs w:val="32"/>
        </w:rPr>
      </w:pPr>
      <w:r>
        <w:rPr>
          <w:rFonts w:hint="eastAsia" w:ascii="仿宋_GB2312" w:hAnsi="宋体" w:eastAsia="仿宋_GB2312"/>
          <w:sz w:val="32"/>
          <w:szCs w:val="32"/>
        </w:rPr>
        <w:t xml:space="preserve">    （</w:t>
      </w:r>
      <w:r>
        <w:rPr>
          <w:rFonts w:hint="eastAsia" w:ascii="仿宋_GB2312" w:eastAsia="仿宋_GB2312"/>
          <w:sz w:val="32"/>
          <w:szCs w:val="32"/>
        </w:rPr>
        <w:t>18</w:t>
      </w:r>
      <w:r>
        <w:rPr>
          <w:rFonts w:hint="eastAsia" w:ascii="仿宋_GB2312" w:hAnsi="宋体" w:eastAsia="仿宋_GB2312"/>
          <w:sz w:val="32"/>
          <w:szCs w:val="32"/>
        </w:rPr>
        <w:t>）审查施工承包人提交的工程变更申请，协调处理施工进度调整、费用索赔、合同争议等事项；</w:t>
      </w:r>
    </w:p>
    <w:p w14:paraId="794C7BA9">
      <w:pPr>
        <w:adjustRightInd w:val="0"/>
        <w:snapToGrid w:val="0"/>
        <w:spacing w:line="360" w:lineRule="auto"/>
        <w:ind w:firstLine="645"/>
        <w:rPr>
          <w:rFonts w:ascii="仿宋_GB2312" w:hAnsi="宋体" w:eastAsia="仿宋_GB2312"/>
          <w:sz w:val="32"/>
          <w:szCs w:val="32"/>
        </w:rPr>
      </w:pPr>
      <w:r>
        <w:rPr>
          <w:rFonts w:hint="eastAsia" w:ascii="仿宋_GB2312" w:hAnsi="宋体" w:eastAsia="仿宋_GB2312"/>
          <w:sz w:val="32"/>
          <w:szCs w:val="32"/>
        </w:rPr>
        <w:t>（</w:t>
      </w:r>
      <w:r>
        <w:rPr>
          <w:rFonts w:hint="eastAsia" w:ascii="仿宋_GB2312" w:eastAsia="仿宋_GB2312"/>
          <w:sz w:val="32"/>
          <w:szCs w:val="32"/>
        </w:rPr>
        <w:t>19</w:t>
      </w:r>
      <w:r>
        <w:rPr>
          <w:rFonts w:hint="eastAsia" w:ascii="仿宋_GB2312" w:hAnsi="宋体" w:eastAsia="仿宋_GB2312"/>
          <w:sz w:val="32"/>
          <w:szCs w:val="32"/>
        </w:rPr>
        <w:t>）审查施工承包人提交的竣工验收申请，编写工程质量评估报告；</w:t>
      </w:r>
    </w:p>
    <w:p w14:paraId="0630EFB8">
      <w:pPr>
        <w:adjustRightInd w:val="0"/>
        <w:snapToGrid w:val="0"/>
        <w:spacing w:line="360" w:lineRule="auto"/>
        <w:ind w:firstLine="640" w:firstLineChars="200"/>
        <w:rPr>
          <w:rFonts w:ascii="仿宋_GB2312" w:hAnsi="宋体" w:eastAsia="仿宋_GB2312"/>
          <w:sz w:val="32"/>
          <w:szCs w:val="32"/>
        </w:rPr>
      </w:pPr>
      <w:r>
        <w:rPr>
          <w:rFonts w:hint="eastAsia" w:ascii="仿宋_GB2312" w:hAnsi="宋体" w:eastAsia="仿宋_GB2312"/>
          <w:sz w:val="32"/>
          <w:szCs w:val="32"/>
        </w:rPr>
        <w:t>（20）参加工程竣工验收，签署竣工验收意见；</w:t>
      </w:r>
    </w:p>
    <w:p w14:paraId="1E6919EC">
      <w:pPr>
        <w:adjustRightInd w:val="0"/>
        <w:snapToGrid w:val="0"/>
        <w:spacing w:line="360" w:lineRule="auto"/>
        <w:ind w:firstLine="640" w:firstLineChars="200"/>
        <w:rPr>
          <w:rFonts w:ascii="仿宋_GB2312" w:hAnsi="宋体" w:eastAsia="仿宋_GB2312"/>
          <w:sz w:val="32"/>
          <w:szCs w:val="32"/>
        </w:rPr>
      </w:pPr>
      <w:r>
        <w:rPr>
          <w:rFonts w:hint="eastAsia" w:ascii="仿宋_GB2312" w:hAnsi="宋体" w:eastAsia="仿宋_GB2312"/>
          <w:sz w:val="32"/>
          <w:szCs w:val="32"/>
        </w:rPr>
        <w:t>（</w:t>
      </w:r>
      <w:r>
        <w:rPr>
          <w:rFonts w:hint="eastAsia" w:ascii="仿宋_GB2312" w:eastAsia="仿宋_GB2312"/>
          <w:sz w:val="32"/>
          <w:szCs w:val="32"/>
        </w:rPr>
        <w:t>21</w:t>
      </w:r>
      <w:r>
        <w:rPr>
          <w:rFonts w:hint="eastAsia" w:ascii="仿宋_GB2312" w:hAnsi="宋体" w:eastAsia="仿宋_GB2312"/>
          <w:sz w:val="32"/>
          <w:szCs w:val="32"/>
        </w:rPr>
        <w:t>）审查施工承包人提交的竣工结算申请并报委托人；</w:t>
      </w:r>
    </w:p>
    <w:p w14:paraId="41142F6D">
      <w:pPr>
        <w:adjustRightInd w:val="0"/>
        <w:snapToGrid w:val="0"/>
        <w:spacing w:line="360" w:lineRule="auto"/>
        <w:ind w:firstLine="640" w:firstLineChars="200"/>
        <w:rPr>
          <w:rFonts w:ascii="仿宋_GB2312" w:hAnsi="宋体" w:eastAsia="仿宋_GB2312"/>
          <w:sz w:val="32"/>
          <w:szCs w:val="32"/>
        </w:rPr>
      </w:pPr>
      <w:r>
        <w:rPr>
          <w:rFonts w:hint="eastAsia" w:ascii="仿宋_GB2312" w:hAnsi="宋体" w:eastAsia="仿宋_GB2312"/>
          <w:sz w:val="32"/>
          <w:szCs w:val="32"/>
        </w:rPr>
        <w:t>（</w:t>
      </w:r>
      <w:r>
        <w:rPr>
          <w:rFonts w:hint="eastAsia" w:ascii="仿宋_GB2312" w:eastAsia="仿宋_GB2312"/>
          <w:sz w:val="32"/>
          <w:szCs w:val="32"/>
        </w:rPr>
        <w:t>22</w:t>
      </w:r>
      <w:r>
        <w:rPr>
          <w:rFonts w:hint="eastAsia" w:ascii="仿宋_GB2312" w:hAnsi="宋体" w:eastAsia="仿宋_GB2312"/>
          <w:sz w:val="32"/>
          <w:szCs w:val="32"/>
        </w:rPr>
        <w:t>）编制、整理工程监理归档文件并报委托人。</w:t>
      </w:r>
    </w:p>
    <w:p w14:paraId="3E6C4762">
      <w:pPr>
        <w:spacing w:line="360" w:lineRule="auto"/>
        <w:ind w:left="480" w:leftChars="200" w:firstLine="160" w:firstLineChars="50"/>
        <w:rPr>
          <w:rFonts w:ascii="仿宋_GB2312" w:hAnsi="宋体" w:eastAsia="仿宋_GB2312"/>
          <w:sz w:val="32"/>
          <w:szCs w:val="32"/>
        </w:rPr>
      </w:pPr>
      <w:r>
        <w:rPr>
          <w:rFonts w:hint="eastAsia" w:ascii="仿宋_GB2312" w:eastAsia="仿宋_GB2312"/>
          <w:sz w:val="32"/>
          <w:szCs w:val="32"/>
        </w:rPr>
        <w:t xml:space="preserve">2.1.3 </w:t>
      </w:r>
      <w:r>
        <w:rPr>
          <w:rFonts w:hint="eastAsia" w:ascii="仿宋_GB2312" w:hAnsi="宋体" w:eastAsia="仿宋_GB2312"/>
          <w:sz w:val="32"/>
          <w:szCs w:val="32"/>
        </w:rPr>
        <w:t>相关服务的范围和内容在附录</w:t>
      </w:r>
      <w:r>
        <w:rPr>
          <w:rFonts w:hint="eastAsia" w:ascii="仿宋_GB2312" w:eastAsia="仿宋_GB2312"/>
          <w:sz w:val="32"/>
          <w:szCs w:val="32"/>
        </w:rPr>
        <w:t>A</w:t>
      </w:r>
      <w:r>
        <w:rPr>
          <w:rFonts w:hint="eastAsia" w:ascii="仿宋_GB2312" w:hAnsi="宋体" w:eastAsia="仿宋_GB2312"/>
          <w:sz w:val="32"/>
          <w:szCs w:val="32"/>
        </w:rPr>
        <w:t>中约定。</w:t>
      </w:r>
    </w:p>
    <w:p w14:paraId="5AFB4BD3">
      <w:pPr>
        <w:spacing w:line="360" w:lineRule="auto"/>
        <w:ind w:firstLine="320" w:firstLineChars="100"/>
        <w:rPr>
          <w:rFonts w:ascii="仿宋_GB2312" w:hAnsi="宋体" w:eastAsia="仿宋_GB2312"/>
          <w:bCs/>
          <w:sz w:val="32"/>
          <w:szCs w:val="32"/>
        </w:rPr>
      </w:pPr>
      <w:r>
        <w:rPr>
          <w:rFonts w:hint="eastAsia" w:ascii="仿宋_GB2312" w:eastAsia="仿宋_GB2312"/>
          <w:sz w:val="32"/>
          <w:szCs w:val="32"/>
        </w:rPr>
        <w:t xml:space="preserve">2.2 </w:t>
      </w:r>
      <w:r>
        <w:rPr>
          <w:rFonts w:hint="eastAsia" w:ascii="仿宋_GB2312" w:hAnsi="宋体" w:eastAsia="仿宋_GB2312"/>
          <w:bCs/>
          <w:sz w:val="32"/>
          <w:szCs w:val="32"/>
        </w:rPr>
        <w:t>监理与相关服务依据</w:t>
      </w:r>
    </w:p>
    <w:p w14:paraId="7598B398">
      <w:pPr>
        <w:adjustRightInd w:val="0"/>
        <w:snapToGrid w:val="0"/>
        <w:spacing w:line="360" w:lineRule="auto"/>
        <w:ind w:firstLine="640" w:firstLineChars="200"/>
        <w:rPr>
          <w:rFonts w:ascii="仿宋_GB2312" w:eastAsia="仿宋_GB2312"/>
          <w:sz w:val="32"/>
          <w:szCs w:val="32"/>
        </w:rPr>
      </w:pPr>
      <w:r>
        <w:rPr>
          <w:rFonts w:hint="eastAsia" w:ascii="仿宋_GB2312" w:hAnsi="宋体" w:eastAsia="仿宋_GB2312"/>
          <w:sz w:val="32"/>
          <w:szCs w:val="32"/>
        </w:rPr>
        <w:t>2.2.1 监理依据包括：</w:t>
      </w:r>
    </w:p>
    <w:p w14:paraId="7E2EB52B">
      <w:pPr>
        <w:adjustRightInd w:val="0"/>
        <w:snapToGrid w:val="0"/>
        <w:spacing w:line="360" w:lineRule="auto"/>
        <w:ind w:firstLine="800" w:firstLineChars="250"/>
        <w:rPr>
          <w:rFonts w:ascii="仿宋_GB2312" w:eastAsia="仿宋_GB2312"/>
          <w:sz w:val="32"/>
          <w:szCs w:val="32"/>
        </w:rPr>
      </w:pPr>
      <w:r>
        <w:rPr>
          <w:rFonts w:hint="eastAsia" w:ascii="仿宋_GB2312" w:hAnsi="宋体" w:eastAsia="仿宋_GB2312"/>
          <w:sz w:val="32"/>
          <w:szCs w:val="32"/>
        </w:rPr>
        <w:t>（</w:t>
      </w:r>
      <w:r>
        <w:rPr>
          <w:rFonts w:hint="eastAsia" w:ascii="仿宋_GB2312" w:eastAsia="仿宋_GB2312"/>
          <w:sz w:val="32"/>
          <w:szCs w:val="32"/>
        </w:rPr>
        <w:t>1</w:t>
      </w:r>
      <w:r>
        <w:rPr>
          <w:rFonts w:hint="eastAsia" w:ascii="仿宋_GB2312" w:hAnsi="宋体" w:eastAsia="仿宋_GB2312"/>
          <w:sz w:val="32"/>
          <w:szCs w:val="32"/>
        </w:rPr>
        <w:t>）适用的法律、行政法规及部门规章；</w:t>
      </w:r>
    </w:p>
    <w:p w14:paraId="60E922A3">
      <w:pPr>
        <w:adjustRightInd w:val="0"/>
        <w:snapToGrid w:val="0"/>
        <w:spacing w:line="360" w:lineRule="auto"/>
        <w:ind w:firstLine="800" w:firstLineChars="250"/>
        <w:rPr>
          <w:rFonts w:ascii="仿宋_GB2312" w:hAnsi="宋体" w:eastAsia="仿宋_GB2312"/>
          <w:sz w:val="32"/>
          <w:szCs w:val="32"/>
        </w:rPr>
      </w:pPr>
      <w:r>
        <w:rPr>
          <w:rFonts w:hint="eastAsia" w:ascii="仿宋_GB2312" w:hAnsi="宋体" w:eastAsia="仿宋_GB2312"/>
          <w:sz w:val="32"/>
          <w:szCs w:val="32"/>
        </w:rPr>
        <w:t>（</w:t>
      </w:r>
      <w:r>
        <w:rPr>
          <w:rFonts w:hint="eastAsia" w:ascii="仿宋_GB2312" w:eastAsia="仿宋_GB2312"/>
          <w:sz w:val="32"/>
          <w:szCs w:val="32"/>
        </w:rPr>
        <w:t>2</w:t>
      </w:r>
      <w:r>
        <w:rPr>
          <w:rFonts w:hint="eastAsia" w:ascii="仿宋_GB2312" w:hAnsi="宋体" w:eastAsia="仿宋_GB2312"/>
          <w:sz w:val="32"/>
          <w:szCs w:val="32"/>
        </w:rPr>
        <w:t>）与工程有关的标准；</w:t>
      </w:r>
    </w:p>
    <w:p w14:paraId="6AE2B655">
      <w:pPr>
        <w:adjustRightInd w:val="0"/>
        <w:snapToGrid w:val="0"/>
        <w:spacing w:line="360" w:lineRule="auto"/>
        <w:ind w:firstLine="800" w:firstLineChars="250"/>
        <w:rPr>
          <w:rFonts w:ascii="仿宋_GB2312" w:hAnsi="宋体" w:eastAsia="仿宋_GB2312"/>
          <w:sz w:val="32"/>
          <w:szCs w:val="32"/>
        </w:rPr>
      </w:pPr>
      <w:r>
        <w:rPr>
          <w:rFonts w:hint="eastAsia" w:ascii="仿宋_GB2312" w:hAnsi="宋体" w:eastAsia="仿宋_GB2312"/>
          <w:sz w:val="32"/>
          <w:szCs w:val="32"/>
        </w:rPr>
        <w:t>（3）工程设计及有关文件；</w:t>
      </w:r>
    </w:p>
    <w:p w14:paraId="1679C308">
      <w:pPr>
        <w:adjustRightInd w:val="0"/>
        <w:snapToGrid w:val="0"/>
        <w:spacing w:line="360" w:lineRule="auto"/>
        <w:ind w:firstLine="800" w:firstLineChars="250"/>
        <w:rPr>
          <w:rFonts w:ascii="仿宋_GB2312" w:hAnsi="宋体" w:eastAsia="仿宋_GB2312"/>
          <w:sz w:val="32"/>
          <w:szCs w:val="32"/>
        </w:rPr>
      </w:pPr>
      <w:r>
        <w:rPr>
          <w:rFonts w:hint="eastAsia" w:ascii="仿宋_GB2312" w:hAnsi="宋体" w:eastAsia="仿宋_GB2312"/>
          <w:sz w:val="32"/>
          <w:szCs w:val="32"/>
        </w:rPr>
        <w:t>（</w:t>
      </w:r>
      <w:r>
        <w:rPr>
          <w:rFonts w:hint="eastAsia" w:ascii="仿宋_GB2312" w:eastAsia="仿宋_GB2312"/>
          <w:sz w:val="32"/>
          <w:szCs w:val="32"/>
        </w:rPr>
        <w:t>4</w:t>
      </w:r>
      <w:r>
        <w:rPr>
          <w:rFonts w:hint="eastAsia" w:ascii="仿宋_GB2312" w:hAnsi="宋体" w:eastAsia="仿宋_GB2312"/>
          <w:sz w:val="32"/>
          <w:szCs w:val="32"/>
        </w:rPr>
        <w:t>）本合同及委托人与第三方签订的与实施工程有关的其他合同。</w:t>
      </w:r>
    </w:p>
    <w:p w14:paraId="583BCFF7">
      <w:pPr>
        <w:spacing w:line="360" w:lineRule="auto"/>
        <w:ind w:left="240" w:leftChars="100" w:firstLine="640" w:firstLineChars="200"/>
        <w:rPr>
          <w:rFonts w:ascii="仿宋_GB2312" w:hAnsi="宋体" w:eastAsia="仿宋_GB2312"/>
          <w:bCs/>
          <w:sz w:val="32"/>
          <w:szCs w:val="32"/>
        </w:rPr>
      </w:pPr>
      <w:r>
        <w:rPr>
          <w:rFonts w:hint="eastAsia" w:ascii="仿宋_GB2312" w:hAnsi="宋体" w:eastAsia="仿宋_GB2312"/>
          <w:bCs/>
          <w:sz w:val="32"/>
          <w:szCs w:val="32"/>
        </w:rPr>
        <w:t>双方根据工程的行业和地域特点，在专用条件中具体约定监理依据。</w:t>
      </w:r>
    </w:p>
    <w:p w14:paraId="09A60A34">
      <w:pPr>
        <w:adjustRightInd w:val="0"/>
        <w:snapToGrid w:val="0"/>
        <w:spacing w:line="360" w:lineRule="auto"/>
        <w:ind w:firstLine="640" w:firstLineChars="200"/>
        <w:rPr>
          <w:rFonts w:ascii="仿宋_GB2312" w:hAnsi="宋体" w:eastAsia="仿宋_GB2312"/>
          <w:sz w:val="32"/>
          <w:szCs w:val="32"/>
        </w:rPr>
      </w:pPr>
      <w:r>
        <w:rPr>
          <w:rFonts w:hint="eastAsia" w:ascii="仿宋_GB2312" w:hAnsi="宋体" w:eastAsia="仿宋_GB2312"/>
          <w:sz w:val="32"/>
          <w:szCs w:val="32"/>
        </w:rPr>
        <w:t>2.2.2 相关服务依据在专用条件中约定。</w:t>
      </w:r>
    </w:p>
    <w:p w14:paraId="41E22DB4">
      <w:pPr>
        <w:spacing w:line="360" w:lineRule="auto"/>
        <w:ind w:firstLine="320" w:firstLineChars="100"/>
        <w:rPr>
          <w:rFonts w:ascii="仿宋_GB2312" w:hAnsi="宋体" w:eastAsia="仿宋_GB2312" w:cs="宋体"/>
          <w:sz w:val="32"/>
          <w:szCs w:val="32"/>
        </w:rPr>
      </w:pPr>
      <w:r>
        <w:rPr>
          <w:rFonts w:hint="eastAsia" w:ascii="仿宋_GB2312" w:eastAsia="仿宋_GB2312"/>
          <w:sz w:val="32"/>
          <w:szCs w:val="32"/>
        </w:rPr>
        <w:t xml:space="preserve">2.3 </w:t>
      </w:r>
      <w:r>
        <w:rPr>
          <w:rFonts w:hint="eastAsia" w:ascii="仿宋_GB2312" w:hAnsi="宋体" w:eastAsia="仿宋_GB2312" w:cs="宋体"/>
          <w:sz w:val="32"/>
          <w:szCs w:val="32"/>
        </w:rPr>
        <w:t>项目监理机构和人员</w:t>
      </w:r>
    </w:p>
    <w:p w14:paraId="1D0030CD">
      <w:pPr>
        <w:adjustRightInd w:val="0"/>
        <w:snapToGrid w:val="0"/>
        <w:spacing w:line="360" w:lineRule="auto"/>
        <w:ind w:firstLine="645"/>
        <w:rPr>
          <w:rFonts w:ascii="仿宋_GB2312" w:hAnsi="宋体" w:eastAsia="仿宋_GB2312"/>
          <w:sz w:val="32"/>
          <w:szCs w:val="32"/>
        </w:rPr>
      </w:pPr>
      <w:r>
        <w:rPr>
          <w:rFonts w:hint="eastAsia" w:ascii="仿宋_GB2312" w:eastAsia="仿宋_GB2312"/>
          <w:sz w:val="32"/>
          <w:szCs w:val="32"/>
        </w:rPr>
        <w:t xml:space="preserve">2.3.1 </w:t>
      </w:r>
      <w:r>
        <w:rPr>
          <w:rFonts w:hint="eastAsia" w:ascii="仿宋_GB2312" w:hAnsi="宋体" w:eastAsia="仿宋_GB2312"/>
          <w:sz w:val="32"/>
          <w:szCs w:val="32"/>
        </w:rPr>
        <w:t>监理人应组建满足工作需要的项目监理机构，配备必要的检测设备。项目监理机构的主要人员应具有相应的资格条件。</w:t>
      </w:r>
    </w:p>
    <w:p w14:paraId="2B5CFD38">
      <w:pPr>
        <w:adjustRightInd w:val="0"/>
        <w:snapToGrid w:val="0"/>
        <w:spacing w:line="360" w:lineRule="auto"/>
        <w:ind w:firstLine="640" w:firstLineChars="200"/>
        <w:rPr>
          <w:rFonts w:ascii="仿宋_GB2312" w:hAnsi="宋体" w:eastAsia="仿宋_GB2312"/>
          <w:sz w:val="32"/>
          <w:szCs w:val="32"/>
        </w:rPr>
      </w:pPr>
      <w:r>
        <w:rPr>
          <w:rFonts w:hint="eastAsia" w:ascii="仿宋_GB2312" w:eastAsia="仿宋_GB2312"/>
          <w:sz w:val="32"/>
          <w:szCs w:val="32"/>
        </w:rPr>
        <w:t>2.3.2</w:t>
      </w:r>
      <w:r>
        <w:rPr>
          <w:rFonts w:hint="eastAsia" w:ascii="仿宋_GB2312" w:hAnsi="宋体" w:eastAsia="仿宋_GB2312"/>
          <w:sz w:val="32"/>
          <w:szCs w:val="32"/>
        </w:rPr>
        <w:t>本合同履行过程中，总监理工程师及重要岗位监理人员应保持相对稳定，以保证监理工作正常进行。</w:t>
      </w:r>
    </w:p>
    <w:p w14:paraId="296B1188">
      <w:pPr>
        <w:adjustRightInd w:val="0"/>
        <w:snapToGrid w:val="0"/>
        <w:spacing w:line="360" w:lineRule="auto"/>
        <w:ind w:firstLine="640" w:firstLineChars="200"/>
        <w:rPr>
          <w:rFonts w:ascii="仿宋_GB2312" w:hAnsi="宋体" w:eastAsia="仿宋_GB2312"/>
          <w:sz w:val="32"/>
          <w:szCs w:val="32"/>
        </w:rPr>
      </w:pPr>
      <w:r>
        <w:rPr>
          <w:rFonts w:hint="eastAsia" w:ascii="仿宋_GB2312" w:eastAsia="仿宋_GB2312"/>
          <w:sz w:val="32"/>
          <w:szCs w:val="32"/>
        </w:rPr>
        <w:t>2.3.3</w:t>
      </w:r>
      <w:r>
        <w:rPr>
          <w:rFonts w:hint="eastAsia" w:ascii="仿宋_GB2312" w:hAnsi="宋体" w:eastAsia="仿宋_GB2312"/>
          <w:sz w:val="32"/>
          <w:szCs w:val="32"/>
        </w:rPr>
        <w:t>监理人可根据工程进展和工作需要调整项目监理机构人员。监理人更换总监理工程师时，应提前7天向委托人书面报告，经委托人同意后方可更换；监理人更换项目监理机构其他监理人员，应以相当资格与能力的人员替换，并通知委托人。</w:t>
      </w:r>
    </w:p>
    <w:p w14:paraId="0B8C4D20">
      <w:pPr>
        <w:adjustRightInd w:val="0"/>
        <w:snapToGrid w:val="0"/>
        <w:spacing w:line="360" w:lineRule="auto"/>
        <w:ind w:firstLine="640" w:firstLineChars="200"/>
        <w:rPr>
          <w:rFonts w:ascii="仿宋_GB2312" w:eastAsia="仿宋_GB2312"/>
          <w:sz w:val="32"/>
          <w:szCs w:val="32"/>
        </w:rPr>
      </w:pPr>
      <w:r>
        <w:rPr>
          <w:rFonts w:hint="eastAsia" w:ascii="仿宋_GB2312" w:eastAsia="仿宋_GB2312"/>
          <w:sz w:val="32"/>
          <w:szCs w:val="32"/>
        </w:rPr>
        <w:t xml:space="preserve">2.3.4 </w:t>
      </w:r>
      <w:r>
        <w:rPr>
          <w:rFonts w:hint="eastAsia" w:ascii="仿宋_GB2312" w:hAnsi="宋体" w:eastAsia="仿宋_GB2312"/>
          <w:sz w:val="32"/>
          <w:szCs w:val="32"/>
        </w:rPr>
        <w:t>监理人应及时更换有下列情形之一的监理人员：</w:t>
      </w:r>
    </w:p>
    <w:p w14:paraId="20777960">
      <w:pPr>
        <w:adjustRightInd w:val="0"/>
        <w:snapToGrid w:val="0"/>
        <w:spacing w:line="360" w:lineRule="auto"/>
        <w:ind w:firstLine="640" w:firstLineChars="200"/>
        <w:rPr>
          <w:rFonts w:ascii="仿宋_GB2312" w:eastAsia="仿宋_GB2312"/>
          <w:sz w:val="32"/>
          <w:szCs w:val="32"/>
        </w:rPr>
      </w:pPr>
      <w:r>
        <w:rPr>
          <w:rFonts w:hint="eastAsia" w:ascii="仿宋_GB2312" w:hAnsi="宋体" w:eastAsia="仿宋_GB2312"/>
          <w:sz w:val="32"/>
          <w:szCs w:val="32"/>
        </w:rPr>
        <w:t>（</w:t>
      </w:r>
      <w:r>
        <w:rPr>
          <w:rFonts w:hint="eastAsia" w:ascii="仿宋_GB2312" w:eastAsia="仿宋_GB2312"/>
          <w:sz w:val="32"/>
          <w:szCs w:val="32"/>
        </w:rPr>
        <w:t>1</w:t>
      </w:r>
      <w:r>
        <w:rPr>
          <w:rFonts w:hint="eastAsia" w:ascii="仿宋_GB2312" w:hAnsi="宋体" w:eastAsia="仿宋_GB2312"/>
          <w:sz w:val="32"/>
          <w:szCs w:val="32"/>
        </w:rPr>
        <w:t>）严重过失行为的；</w:t>
      </w:r>
    </w:p>
    <w:p w14:paraId="22782CEC">
      <w:pPr>
        <w:adjustRightInd w:val="0"/>
        <w:snapToGrid w:val="0"/>
        <w:spacing w:line="360" w:lineRule="auto"/>
        <w:ind w:firstLine="640" w:firstLineChars="200"/>
        <w:rPr>
          <w:rFonts w:ascii="仿宋_GB2312" w:eastAsia="仿宋_GB2312"/>
          <w:sz w:val="32"/>
          <w:szCs w:val="32"/>
        </w:rPr>
      </w:pPr>
      <w:r>
        <w:rPr>
          <w:rFonts w:hint="eastAsia" w:ascii="仿宋_GB2312" w:hAnsi="宋体" w:eastAsia="仿宋_GB2312"/>
          <w:sz w:val="32"/>
          <w:szCs w:val="32"/>
        </w:rPr>
        <w:t>（</w:t>
      </w:r>
      <w:r>
        <w:rPr>
          <w:rFonts w:hint="eastAsia" w:ascii="仿宋_GB2312" w:eastAsia="仿宋_GB2312"/>
          <w:sz w:val="32"/>
          <w:szCs w:val="32"/>
        </w:rPr>
        <w:t>2</w:t>
      </w:r>
      <w:r>
        <w:rPr>
          <w:rFonts w:hint="eastAsia" w:ascii="仿宋_GB2312" w:hAnsi="宋体" w:eastAsia="仿宋_GB2312"/>
          <w:sz w:val="32"/>
          <w:szCs w:val="32"/>
        </w:rPr>
        <w:t>）有违法行为不能履行职责的；</w:t>
      </w:r>
    </w:p>
    <w:p w14:paraId="7760136D">
      <w:pPr>
        <w:adjustRightInd w:val="0"/>
        <w:snapToGrid w:val="0"/>
        <w:spacing w:line="360" w:lineRule="auto"/>
        <w:ind w:firstLine="640" w:firstLineChars="200"/>
        <w:rPr>
          <w:rFonts w:ascii="仿宋_GB2312" w:eastAsia="仿宋_GB2312"/>
          <w:sz w:val="32"/>
          <w:szCs w:val="32"/>
        </w:rPr>
      </w:pPr>
      <w:r>
        <w:rPr>
          <w:rFonts w:hint="eastAsia" w:ascii="仿宋_GB2312" w:hAnsi="宋体" w:eastAsia="仿宋_GB2312"/>
          <w:sz w:val="32"/>
          <w:szCs w:val="32"/>
        </w:rPr>
        <w:t>（</w:t>
      </w:r>
      <w:r>
        <w:rPr>
          <w:rFonts w:hint="eastAsia" w:ascii="仿宋_GB2312" w:eastAsia="仿宋_GB2312"/>
          <w:sz w:val="32"/>
          <w:szCs w:val="32"/>
        </w:rPr>
        <w:t>3</w:t>
      </w:r>
      <w:r>
        <w:rPr>
          <w:rFonts w:hint="eastAsia" w:ascii="仿宋_GB2312" w:hAnsi="宋体" w:eastAsia="仿宋_GB2312"/>
          <w:sz w:val="32"/>
          <w:szCs w:val="32"/>
        </w:rPr>
        <w:t>）涉嫌犯罪的；</w:t>
      </w:r>
    </w:p>
    <w:p w14:paraId="3BD6378E">
      <w:pPr>
        <w:adjustRightInd w:val="0"/>
        <w:snapToGrid w:val="0"/>
        <w:spacing w:line="360" w:lineRule="auto"/>
        <w:ind w:firstLine="640" w:firstLineChars="200"/>
        <w:rPr>
          <w:rFonts w:ascii="仿宋_GB2312" w:eastAsia="仿宋_GB2312"/>
          <w:sz w:val="32"/>
          <w:szCs w:val="32"/>
        </w:rPr>
      </w:pPr>
      <w:r>
        <w:rPr>
          <w:rFonts w:hint="eastAsia" w:ascii="仿宋_GB2312" w:hAnsi="宋体" w:eastAsia="仿宋_GB2312"/>
          <w:sz w:val="32"/>
          <w:szCs w:val="32"/>
        </w:rPr>
        <w:t>（</w:t>
      </w:r>
      <w:r>
        <w:rPr>
          <w:rFonts w:hint="eastAsia" w:ascii="仿宋_GB2312" w:eastAsia="仿宋_GB2312"/>
          <w:sz w:val="32"/>
          <w:szCs w:val="32"/>
        </w:rPr>
        <w:t>4</w:t>
      </w:r>
      <w:r>
        <w:rPr>
          <w:rFonts w:hint="eastAsia" w:ascii="仿宋_GB2312" w:hAnsi="宋体" w:eastAsia="仿宋_GB2312"/>
          <w:sz w:val="32"/>
          <w:szCs w:val="32"/>
        </w:rPr>
        <w:t>）不能胜任岗位职责的；</w:t>
      </w:r>
    </w:p>
    <w:p w14:paraId="241E1F46">
      <w:pPr>
        <w:adjustRightInd w:val="0"/>
        <w:snapToGrid w:val="0"/>
        <w:spacing w:line="360" w:lineRule="auto"/>
        <w:ind w:firstLine="640" w:firstLineChars="200"/>
        <w:rPr>
          <w:rFonts w:ascii="仿宋_GB2312" w:eastAsia="仿宋_GB2312"/>
          <w:sz w:val="32"/>
          <w:szCs w:val="32"/>
        </w:rPr>
      </w:pPr>
      <w:r>
        <w:rPr>
          <w:rFonts w:hint="eastAsia" w:ascii="仿宋_GB2312" w:hAnsi="宋体" w:eastAsia="仿宋_GB2312"/>
          <w:sz w:val="32"/>
          <w:szCs w:val="32"/>
        </w:rPr>
        <w:t>（</w:t>
      </w:r>
      <w:r>
        <w:rPr>
          <w:rFonts w:hint="eastAsia" w:ascii="仿宋_GB2312" w:eastAsia="仿宋_GB2312"/>
          <w:sz w:val="32"/>
          <w:szCs w:val="32"/>
        </w:rPr>
        <w:t>5</w:t>
      </w:r>
      <w:r>
        <w:rPr>
          <w:rFonts w:hint="eastAsia" w:ascii="仿宋_GB2312" w:hAnsi="宋体" w:eastAsia="仿宋_GB2312"/>
          <w:sz w:val="32"/>
          <w:szCs w:val="32"/>
        </w:rPr>
        <w:t>）严重违反职业道德的；</w:t>
      </w:r>
    </w:p>
    <w:p w14:paraId="32A28E5B">
      <w:pPr>
        <w:adjustRightInd w:val="0"/>
        <w:snapToGrid w:val="0"/>
        <w:spacing w:line="360" w:lineRule="auto"/>
        <w:ind w:firstLine="640" w:firstLineChars="200"/>
        <w:rPr>
          <w:rFonts w:ascii="仿宋_GB2312" w:hAnsi="宋体" w:eastAsia="仿宋_GB2312"/>
          <w:sz w:val="32"/>
          <w:szCs w:val="32"/>
        </w:rPr>
      </w:pPr>
      <w:r>
        <w:rPr>
          <w:rFonts w:hint="eastAsia" w:ascii="仿宋_GB2312" w:hAnsi="宋体" w:eastAsia="仿宋_GB2312"/>
          <w:sz w:val="32"/>
          <w:szCs w:val="32"/>
        </w:rPr>
        <w:t>（</w:t>
      </w:r>
      <w:r>
        <w:rPr>
          <w:rFonts w:hint="eastAsia" w:ascii="仿宋_GB2312" w:eastAsia="仿宋_GB2312"/>
          <w:sz w:val="32"/>
          <w:szCs w:val="32"/>
        </w:rPr>
        <w:t>6</w:t>
      </w:r>
      <w:r>
        <w:rPr>
          <w:rFonts w:hint="eastAsia" w:ascii="仿宋_GB2312" w:hAnsi="宋体" w:eastAsia="仿宋_GB2312"/>
          <w:sz w:val="32"/>
          <w:szCs w:val="32"/>
        </w:rPr>
        <w:t>）专用条件约定的其他情形。</w:t>
      </w:r>
    </w:p>
    <w:p w14:paraId="213C0F4E">
      <w:pPr>
        <w:spacing w:line="360" w:lineRule="auto"/>
        <w:ind w:firstLine="640" w:firstLineChars="200"/>
        <w:rPr>
          <w:rFonts w:ascii="仿宋_GB2312" w:eastAsia="仿宋_GB2312"/>
          <w:sz w:val="32"/>
          <w:szCs w:val="32"/>
        </w:rPr>
      </w:pPr>
      <w:r>
        <w:rPr>
          <w:rFonts w:hint="eastAsia" w:ascii="仿宋_GB2312" w:eastAsia="仿宋_GB2312"/>
          <w:sz w:val="32"/>
          <w:szCs w:val="32"/>
        </w:rPr>
        <w:t>2.3.5 委托人可要求监理人更换不能</w:t>
      </w:r>
      <w:r>
        <w:rPr>
          <w:rFonts w:hint="eastAsia" w:ascii="仿宋_GB2312" w:hAnsi="宋体" w:eastAsia="仿宋_GB2312"/>
          <w:sz w:val="32"/>
          <w:szCs w:val="32"/>
        </w:rPr>
        <w:t>胜任本职工作</w:t>
      </w:r>
      <w:r>
        <w:rPr>
          <w:rFonts w:hint="eastAsia" w:ascii="仿宋_GB2312" w:eastAsia="仿宋_GB2312"/>
          <w:sz w:val="32"/>
          <w:szCs w:val="32"/>
        </w:rPr>
        <w:t>的</w:t>
      </w:r>
      <w:r>
        <w:rPr>
          <w:rFonts w:hint="eastAsia" w:ascii="仿宋_GB2312" w:hAnsi="宋体" w:eastAsia="仿宋_GB2312"/>
          <w:sz w:val="32"/>
          <w:szCs w:val="32"/>
        </w:rPr>
        <w:t>项目监理机构</w:t>
      </w:r>
      <w:r>
        <w:rPr>
          <w:rFonts w:hint="eastAsia" w:ascii="仿宋_GB2312" w:eastAsia="仿宋_GB2312"/>
          <w:sz w:val="32"/>
          <w:szCs w:val="32"/>
        </w:rPr>
        <w:t>人员。</w:t>
      </w:r>
    </w:p>
    <w:p w14:paraId="1823D970">
      <w:pPr>
        <w:spacing w:line="360" w:lineRule="auto"/>
        <w:ind w:left="240" w:leftChars="100"/>
        <w:rPr>
          <w:rFonts w:ascii="仿宋_GB2312" w:hAnsi="宋体" w:eastAsia="仿宋_GB2312" w:cs="宋体"/>
          <w:sz w:val="32"/>
          <w:szCs w:val="32"/>
        </w:rPr>
      </w:pPr>
      <w:r>
        <w:rPr>
          <w:rFonts w:hint="eastAsia" w:ascii="仿宋_GB2312" w:eastAsia="仿宋_GB2312"/>
          <w:sz w:val="32"/>
          <w:szCs w:val="32"/>
        </w:rPr>
        <w:t xml:space="preserve">2.4 </w:t>
      </w:r>
      <w:r>
        <w:rPr>
          <w:rFonts w:hint="eastAsia" w:ascii="仿宋_GB2312" w:hAnsi="宋体" w:eastAsia="仿宋_GB2312" w:cs="宋体"/>
          <w:sz w:val="32"/>
          <w:szCs w:val="32"/>
        </w:rPr>
        <w:t>履行职责</w:t>
      </w:r>
    </w:p>
    <w:p w14:paraId="325956B6">
      <w:pPr>
        <w:adjustRightInd w:val="0"/>
        <w:snapToGrid w:val="0"/>
        <w:spacing w:line="360" w:lineRule="auto"/>
        <w:ind w:firstLine="640" w:firstLineChars="200"/>
        <w:rPr>
          <w:rFonts w:ascii="仿宋_GB2312" w:eastAsia="仿宋_GB2312"/>
          <w:sz w:val="32"/>
          <w:szCs w:val="32"/>
        </w:rPr>
      </w:pPr>
      <w:r>
        <w:rPr>
          <w:rFonts w:hint="eastAsia" w:ascii="仿宋_GB2312" w:hAnsi="宋体" w:eastAsia="仿宋_GB2312"/>
          <w:sz w:val="32"/>
          <w:szCs w:val="32"/>
        </w:rPr>
        <w:t>监理人应遵循职业道德准则和行为规范，严格按照法律法规、工程建设有关标准及本合同履行职责。</w:t>
      </w:r>
    </w:p>
    <w:p w14:paraId="2860405C">
      <w:pPr>
        <w:adjustRightInd w:val="0"/>
        <w:snapToGrid w:val="0"/>
        <w:spacing w:line="360" w:lineRule="auto"/>
        <w:ind w:firstLine="640" w:firstLineChars="200"/>
        <w:rPr>
          <w:rFonts w:ascii="仿宋_GB2312" w:hAnsi="宋体" w:eastAsia="仿宋_GB2312"/>
          <w:sz w:val="32"/>
          <w:szCs w:val="32"/>
        </w:rPr>
      </w:pPr>
      <w:r>
        <w:rPr>
          <w:rFonts w:hint="eastAsia" w:ascii="仿宋_GB2312" w:eastAsia="仿宋_GB2312"/>
          <w:sz w:val="32"/>
          <w:szCs w:val="32"/>
        </w:rPr>
        <w:t xml:space="preserve">2.4.1 </w:t>
      </w:r>
      <w:r>
        <w:rPr>
          <w:rFonts w:hint="eastAsia" w:ascii="仿宋_GB2312" w:hAnsi="宋体" w:eastAsia="仿宋_GB2312"/>
          <w:sz w:val="32"/>
          <w:szCs w:val="32"/>
        </w:rPr>
        <w:t>在监理与相关服务范围内，委托人和承包人提出的意见和要求，监理人应及时提出处置意见。当委托人与承包人之间发生合同争议时，监理人应协助委托人、承包人协商解决。</w:t>
      </w:r>
    </w:p>
    <w:p w14:paraId="0F91E4C3">
      <w:pPr>
        <w:adjustRightInd w:val="0"/>
        <w:snapToGrid w:val="0"/>
        <w:spacing w:line="360" w:lineRule="auto"/>
        <w:ind w:firstLine="640" w:firstLineChars="200"/>
        <w:rPr>
          <w:rFonts w:ascii="仿宋_GB2312" w:eastAsia="仿宋_GB2312"/>
          <w:sz w:val="32"/>
          <w:szCs w:val="32"/>
        </w:rPr>
      </w:pPr>
      <w:r>
        <w:rPr>
          <w:rFonts w:hint="eastAsia" w:ascii="仿宋_GB2312" w:eastAsia="仿宋_GB2312"/>
          <w:sz w:val="32"/>
          <w:szCs w:val="32"/>
        </w:rPr>
        <w:t xml:space="preserve">2.4.2 </w:t>
      </w:r>
      <w:r>
        <w:rPr>
          <w:rFonts w:hint="eastAsia" w:ascii="仿宋_GB2312" w:hAnsi="宋体" w:eastAsia="仿宋_GB2312"/>
          <w:sz w:val="32"/>
          <w:szCs w:val="32"/>
        </w:rPr>
        <w:t>当委托人与承包人之间的合同争议提交仲裁机构仲裁或人民法院审理时，监理人应提供必要的证明资料。</w:t>
      </w:r>
    </w:p>
    <w:p w14:paraId="6B01D06C">
      <w:pPr>
        <w:adjustRightInd w:val="0"/>
        <w:snapToGrid w:val="0"/>
        <w:spacing w:line="360" w:lineRule="auto"/>
        <w:ind w:firstLine="640" w:firstLineChars="200"/>
        <w:rPr>
          <w:rFonts w:ascii="仿宋_GB2312" w:eastAsia="仿宋_GB2312"/>
          <w:sz w:val="32"/>
          <w:szCs w:val="32"/>
        </w:rPr>
      </w:pPr>
      <w:r>
        <w:rPr>
          <w:rFonts w:hint="eastAsia" w:ascii="仿宋_GB2312" w:eastAsia="仿宋_GB2312"/>
          <w:sz w:val="32"/>
          <w:szCs w:val="32"/>
        </w:rPr>
        <w:t xml:space="preserve">2.4.3 </w:t>
      </w:r>
      <w:r>
        <w:rPr>
          <w:rFonts w:hint="eastAsia" w:ascii="仿宋_GB2312" w:hAnsi="宋体" w:eastAsia="仿宋_GB2312"/>
          <w:sz w:val="32"/>
          <w:szCs w:val="32"/>
        </w:rPr>
        <w:t>监理人应在专用条件约定的授权范围内，处理委托人与承包人所签订合同的变更事宜。如果变更超过授权范围，应以书面形式报委托人批准。</w:t>
      </w:r>
    </w:p>
    <w:p w14:paraId="3FA5B94B">
      <w:pPr>
        <w:adjustRightInd w:val="0"/>
        <w:snapToGrid w:val="0"/>
        <w:spacing w:line="360" w:lineRule="auto"/>
        <w:ind w:firstLine="640" w:firstLineChars="200"/>
        <w:rPr>
          <w:rFonts w:ascii="仿宋_GB2312" w:hAnsi="宋体" w:eastAsia="仿宋_GB2312"/>
          <w:sz w:val="32"/>
          <w:szCs w:val="32"/>
        </w:rPr>
      </w:pPr>
      <w:r>
        <w:rPr>
          <w:rFonts w:hint="eastAsia" w:ascii="仿宋_GB2312" w:hAnsi="宋体" w:eastAsia="仿宋_GB2312"/>
          <w:sz w:val="32"/>
          <w:szCs w:val="32"/>
        </w:rPr>
        <w:t>在紧急情况下，为了保护财产和人身安全，监理人所发出的指令未能事先报委托人批准时，应在发出指令后的</w:t>
      </w:r>
      <w:r>
        <w:rPr>
          <w:rFonts w:hint="eastAsia" w:ascii="仿宋_GB2312" w:eastAsia="仿宋_GB2312"/>
          <w:sz w:val="32"/>
          <w:szCs w:val="32"/>
        </w:rPr>
        <w:t>24</w:t>
      </w:r>
      <w:r>
        <w:rPr>
          <w:rFonts w:hint="eastAsia" w:ascii="仿宋_GB2312" w:hAnsi="宋体" w:eastAsia="仿宋_GB2312"/>
          <w:sz w:val="32"/>
          <w:szCs w:val="32"/>
        </w:rPr>
        <w:t>小时内以书面形式报委托人。</w:t>
      </w:r>
    </w:p>
    <w:p w14:paraId="53C2480A">
      <w:pPr>
        <w:spacing w:line="360" w:lineRule="auto"/>
        <w:ind w:firstLine="640" w:firstLineChars="200"/>
        <w:rPr>
          <w:rFonts w:ascii="仿宋_GB2312" w:hAnsi="宋体" w:eastAsia="仿宋_GB2312"/>
          <w:sz w:val="32"/>
          <w:szCs w:val="32"/>
        </w:rPr>
      </w:pPr>
      <w:r>
        <w:rPr>
          <w:rFonts w:hint="eastAsia" w:ascii="仿宋_GB2312" w:hAnsi="宋体" w:eastAsia="仿宋_GB2312"/>
          <w:sz w:val="32"/>
          <w:szCs w:val="32"/>
        </w:rPr>
        <w:t>2.4.4 除专用条件另有约定外，监理人发现承包人的人员不能胜任本职工作的，有权要求承包人予以调换。</w:t>
      </w:r>
    </w:p>
    <w:p w14:paraId="5F5280A5">
      <w:pPr>
        <w:spacing w:line="360" w:lineRule="auto"/>
        <w:ind w:left="240" w:leftChars="100"/>
        <w:rPr>
          <w:rFonts w:ascii="仿宋_GB2312" w:hAnsi="宋体" w:eastAsia="仿宋_GB2312" w:cs="宋体"/>
          <w:sz w:val="32"/>
          <w:szCs w:val="32"/>
        </w:rPr>
      </w:pPr>
      <w:r>
        <w:rPr>
          <w:rFonts w:hint="eastAsia" w:ascii="仿宋_GB2312" w:eastAsia="仿宋_GB2312"/>
          <w:sz w:val="32"/>
          <w:szCs w:val="32"/>
        </w:rPr>
        <w:t>2.5 提交</w:t>
      </w:r>
      <w:r>
        <w:rPr>
          <w:rFonts w:hint="eastAsia" w:ascii="仿宋_GB2312" w:hAnsi="宋体" w:eastAsia="仿宋_GB2312" w:cs="宋体"/>
          <w:sz w:val="32"/>
          <w:szCs w:val="32"/>
        </w:rPr>
        <w:t>报告</w:t>
      </w:r>
    </w:p>
    <w:p w14:paraId="7B1E320C">
      <w:pPr>
        <w:spacing w:line="360" w:lineRule="auto"/>
        <w:ind w:firstLine="640" w:firstLineChars="200"/>
        <w:rPr>
          <w:rFonts w:ascii="仿宋_GB2312" w:eastAsia="仿宋_GB2312"/>
          <w:sz w:val="32"/>
          <w:szCs w:val="32"/>
        </w:rPr>
      </w:pPr>
      <w:r>
        <w:rPr>
          <w:rFonts w:hint="eastAsia" w:ascii="仿宋_GB2312" w:hAnsi="宋体" w:eastAsia="仿宋_GB2312"/>
          <w:sz w:val="32"/>
          <w:szCs w:val="32"/>
        </w:rPr>
        <w:t>监理人应按专用条件约定的种类、时间和份数向委托人提交监理与相关服务的报告。</w:t>
      </w:r>
    </w:p>
    <w:p w14:paraId="5072FD14">
      <w:pPr>
        <w:spacing w:line="360" w:lineRule="auto"/>
        <w:ind w:left="240" w:leftChars="100"/>
        <w:rPr>
          <w:rFonts w:ascii="仿宋_GB2312" w:hAnsi="宋体" w:eastAsia="仿宋_GB2312"/>
          <w:sz w:val="32"/>
          <w:szCs w:val="32"/>
        </w:rPr>
      </w:pPr>
      <w:r>
        <w:rPr>
          <w:rFonts w:hint="eastAsia" w:ascii="仿宋_GB2312" w:eastAsia="仿宋_GB2312"/>
          <w:sz w:val="32"/>
          <w:szCs w:val="32"/>
        </w:rPr>
        <w:t xml:space="preserve">2.6 </w:t>
      </w:r>
      <w:r>
        <w:rPr>
          <w:rFonts w:hint="eastAsia" w:ascii="仿宋_GB2312" w:hAnsi="宋体" w:eastAsia="仿宋_GB2312"/>
          <w:sz w:val="32"/>
          <w:szCs w:val="32"/>
        </w:rPr>
        <w:t>文件资料</w:t>
      </w:r>
    </w:p>
    <w:p w14:paraId="6663D8E1">
      <w:pPr>
        <w:spacing w:line="360" w:lineRule="auto"/>
        <w:ind w:firstLine="640" w:firstLineChars="200"/>
        <w:rPr>
          <w:rFonts w:ascii="仿宋_GB2312" w:hAnsi="宋体" w:eastAsia="仿宋_GB2312"/>
          <w:sz w:val="32"/>
          <w:szCs w:val="32"/>
        </w:rPr>
      </w:pPr>
      <w:r>
        <w:rPr>
          <w:rFonts w:hint="eastAsia" w:ascii="仿宋_GB2312" w:eastAsia="仿宋_GB2312"/>
          <w:sz w:val="32"/>
          <w:szCs w:val="32"/>
        </w:rPr>
        <w:t>在本合同履行期内，监理人应在现场保留工作所用的图纸、报告及记录监理工</w:t>
      </w:r>
      <w:r>
        <w:rPr>
          <w:rFonts w:hint="eastAsia" w:ascii="仿宋_GB2312" w:hAnsi="宋体" w:eastAsia="仿宋_GB2312"/>
          <w:sz w:val="32"/>
          <w:szCs w:val="32"/>
        </w:rPr>
        <w:t>作的相关文件。工程竣工后，应当按照档案管理规定将监理有关文件归档。</w:t>
      </w:r>
    </w:p>
    <w:p w14:paraId="1F84302B">
      <w:pPr>
        <w:spacing w:line="360" w:lineRule="auto"/>
        <w:ind w:left="240" w:leftChars="100"/>
        <w:rPr>
          <w:rFonts w:ascii="仿宋_GB2312" w:hAnsi="宋体" w:eastAsia="仿宋_GB2312" w:cs="宋体"/>
          <w:sz w:val="32"/>
          <w:szCs w:val="32"/>
        </w:rPr>
      </w:pPr>
      <w:r>
        <w:rPr>
          <w:rFonts w:hint="eastAsia" w:ascii="仿宋_GB2312" w:eastAsia="仿宋_GB2312"/>
          <w:sz w:val="32"/>
          <w:szCs w:val="32"/>
        </w:rPr>
        <w:t xml:space="preserve">2.7 </w:t>
      </w:r>
      <w:r>
        <w:rPr>
          <w:rFonts w:hint="eastAsia" w:ascii="仿宋_GB2312" w:hAnsi="宋体" w:eastAsia="仿宋_GB2312" w:cs="宋体"/>
          <w:sz w:val="32"/>
          <w:szCs w:val="32"/>
        </w:rPr>
        <w:t>使用委托人的财产</w:t>
      </w:r>
    </w:p>
    <w:p w14:paraId="2D38A1D6">
      <w:pPr>
        <w:spacing w:line="360" w:lineRule="auto"/>
        <w:ind w:firstLine="640" w:firstLineChars="200"/>
        <w:rPr>
          <w:rFonts w:ascii="仿宋_GB2312" w:hAnsi="宋体" w:eastAsia="仿宋_GB2312"/>
          <w:sz w:val="32"/>
          <w:szCs w:val="32"/>
        </w:rPr>
      </w:pPr>
      <w:r>
        <w:rPr>
          <w:rFonts w:hint="eastAsia" w:ascii="仿宋_GB2312" w:hAnsi="宋体" w:eastAsia="仿宋_GB2312"/>
          <w:sz w:val="32"/>
          <w:szCs w:val="32"/>
        </w:rPr>
        <w:t>监理人无偿使用附录</w:t>
      </w:r>
      <w:r>
        <w:rPr>
          <w:rFonts w:hint="eastAsia" w:ascii="仿宋_GB2312" w:eastAsia="仿宋_GB2312"/>
          <w:sz w:val="32"/>
          <w:szCs w:val="32"/>
        </w:rPr>
        <w:t>B</w:t>
      </w:r>
      <w:r>
        <w:rPr>
          <w:rFonts w:hint="eastAsia" w:ascii="仿宋_GB2312" w:hAnsi="宋体" w:eastAsia="仿宋_GB2312"/>
          <w:sz w:val="32"/>
          <w:szCs w:val="32"/>
        </w:rPr>
        <w:t>中由委托人派遣的人员和提供的房屋、资料、设备。除专用条件另有约定外，委托人提供的房屋、设备属于委托人的财产，监理人应妥善使用和保管，在本合同终止时将这些房屋、设备的清单提交委托人，并按专用条件约定的时间和方式移交。</w:t>
      </w:r>
    </w:p>
    <w:p w14:paraId="70A55BC4">
      <w:pPr>
        <w:spacing w:line="360" w:lineRule="auto"/>
        <w:rPr>
          <w:rFonts w:ascii="仿宋_GB2312" w:hAnsi="黑体" w:eastAsia="仿宋_GB2312"/>
          <w:b/>
          <w:sz w:val="32"/>
          <w:szCs w:val="32"/>
        </w:rPr>
      </w:pPr>
      <w:r>
        <w:rPr>
          <w:rFonts w:hint="eastAsia" w:ascii="仿宋_GB2312" w:hAnsi="黑体" w:eastAsia="仿宋_GB2312"/>
          <w:b/>
          <w:sz w:val="32"/>
          <w:szCs w:val="32"/>
        </w:rPr>
        <w:t>3．委托人的义务</w:t>
      </w:r>
    </w:p>
    <w:p w14:paraId="12BE63EB">
      <w:pPr>
        <w:spacing w:line="360" w:lineRule="auto"/>
        <w:ind w:left="240" w:leftChars="100"/>
        <w:rPr>
          <w:rFonts w:ascii="仿宋_GB2312" w:hAnsi="宋体" w:eastAsia="仿宋_GB2312" w:cs="宋体"/>
          <w:sz w:val="32"/>
          <w:szCs w:val="32"/>
        </w:rPr>
      </w:pPr>
      <w:r>
        <w:rPr>
          <w:rFonts w:hint="eastAsia" w:ascii="仿宋_GB2312" w:eastAsia="仿宋_GB2312"/>
          <w:sz w:val="32"/>
          <w:szCs w:val="32"/>
        </w:rPr>
        <w:t xml:space="preserve">3.1 </w:t>
      </w:r>
      <w:r>
        <w:rPr>
          <w:rFonts w:hint="eastAsia" w:ascii="仿宋_GB2312" w:hAnsi="宋体" w:eastAsia="仿宋_GB2312" w:cs="宋体"/>
          <w:sz w:val="32"/>
          <w:szCs w:val="32"/>
        </w:rPr>
        <w:t>告知</w:t>
      </w:r>
    </w:p>
    <w:p w14:paraId="2D0BEFA3">
      <w:pPr>
        <w:spacing w:line="360" w:lineRule="auto"/>
        <w:ind w:firstLine="640" w:firstLineChars="200"/>
        <w:rPr>
          <w:rFonts w:ascii="仿宋_GB2312" w:hAnsi="宋体" w:eastAsia="仿宋_GB2312"/>
          <w:sz w:val="32"/>
          <w:szCs w:val="32"/>
        </w:rPr>
      </w:pPr>
      <w:r>
        <w:rPr>
          <w:rFonts w:hint="eastAsia" w:ascii="仿宋_GB2312" w:hAnsi="宋体" w:eastAsia="仿宋_GB2312"/>
          <w:sz w:val="32"/>
          <w:szCs w:val="32"/>
        </w:rPr>
        <w:t>委托人应在委托人与承包人签订的合同中明确监理人、总监理工程师和授予项目监理机构的权限。如有变更，应及时通知承包人。</w:t>
      </w:r>
    </w:p>
    <w:p w14:paraId="3DF4FBB5">
      <w:pPr>
        <w:spacing w:line="360" w:lineRule="auto"/>
        <w:ind w:left="240" w:leftChars="100"/>
        <w:rPr>
          <w:rFonts w:ascii="仿宋_GB2312" w:hAnsi="宋体" w:eastAsia="仿宋_GB2312" w:cs="宋体"/>
          <w:sz w:val="32"/>
          <w:szCs w:val="32"/>
        </w:rPr>
      </w:pPr>
      <w:r>
        <w:rPr>
          <w:rFonts w:hint="eastAsia" w:ascii="仿宋_GB2312" w:eastAsia="仿宋_GB2312"/>
          <w:sz w:val="32"/>
          <w:szCs w:val="32"/>
        </w:rPr>
        <w:t xml:space="preserve">3.2 </w:t>
      </w:r>
      <w:r>
        <w:rPr>
          <w:rFonts w:hint="eastAsia" w:ascii="仿宋_GB2312" w:hAnsi="宋体" w:eastAsia="仿宋_GB2312" w:cs="宋体"/>
          <w:sz w:val="32"/>
          <w:szCs w:val="32"/>
        </w:rPr>
        <w:t>提供资料</w:t>
      </w:r>
    </w:p>
    <w:p w14:paraId="7A693122">
      <w:pPr>
        <w:spacing w:line="360" w:lineRule="auto"/>
        <w:ind w:firstLine="640" w:firstLineChars="200"/>
        <w:rPr>
          <w:rFonts w:ascii="仿宋_GB2312" w:hAnsi="宋体" w:eastAsia="仿宋_GB2312"/>
          <w:sz w:val="32"/>
          <w:szCs w:val="32"/>
        </w:rPr>
      </w:pPr>
      <w:r>
        <w:rPr>
          <w:rFonts w:hint="eastAsia" w:ascii="仿宋_GB2312" w:hAnsi="宋体" w:eastAsia="仿宋_GB2312"/>
          <w:sz w:val="32"/>
          <w:szCs w:val="32"/>
        </w:rPr>
        <w:t>委托人应按照附录B约定，无偿向监理人提供工程有关的资料。在本合同履行过程中，委托人应及时向监理人提供最新的与工程有关的资料。</w:t>
      </w:r>
    </w:p>
    <w:p w14:paraId="308ED226">
      <w:pPr>
        <w:spacing w:line="360" w:lineRule="auto"/>
        <w:ind w:left="240" w:leftChars="100"/>
        <w:rPr>
          <w:rFonts w:ascii="仿宋_GB2312" w:hAnsi="宋体" w:eastAsia="仿宋_GB2312" w:cs="宋体"/>
          <w:sz w:val="32"/>
          <w:szCs w:val="32"/>
        </w:rPr>
      </w:pPr>
      <w:r>
        <w:rPr>
          <w:rFonts w:hint="eastAsia" w:ascii="仿宋_GB2312" w:eastAsia="仿宋_GB2312"/>
          <w:sz w:val="32"/>
          <w:szCs w:val="32"/>
        </w:rPr>
        <w:t xml:space="preserve">3.3 </w:t>
      </w:r>
      <w:r>
        <w:rPr>
          <w:rFonts w:hint="eastAsia" w:ascii="仿宋_GB2312" w:hAnsi="宋体" w:eastAsia="仿宋_GB2312" w:cs="宋体"/>
          <w:sz w:val="32"/>
          <w:szCs w:val="32"/>
        </w:rPr>
        <w:t>提供工作条件</w:t>
      </w:r>
    </w:p>
    <w:p w14:paraId="7220CBC0">
      <w:pPr>
        <w:adjustRightInd w:val="0"/>
        <w:snapToGrid w:val="0"/>
        <w:spacing w:line="360" w:lineRule="auto"/>
        <w:ind w:firstLine="640" w:firstLineChars="200"/>
        <w:rPr>
          <w:rFonts w:ascii="仿宋_GB2312" w:eastAsia="仿宋_GB2312"/>
          <w:sz w:val="32"/>
          <w:szCs w:val="32"/>
        </w:rPr>
      </w:pPr>
      <w:r>
        <w:rPr>
          <w:rFonts w:hint="eastAsia" w:ascii="仿宋_GB2312" w:hAnsi="宋体" w:eastAsia="仿宋_GB2312"/>
          <w:sz w:val="32"/>
          <w:szCs w:val="32"/>
        </w:rPr>
        <w:t>委托人应为监理人完成监理与相关服务提供必要的条件。</w:t>
      </w:r>
    </w:p>
    <w:p w14:paraId="6F357DAF">
      <w:pPr>
        <w:adjustRightInd w:val="0"/>
        <w:snapToGrid w:val="0"/>
        <w:spacing w:line="360" w:lineRule="auto"/>
        <w:ind w:firstLine="640" w:firstLineChars="200"/>
        <w:rPr>
          <w:rFonts w:ascii="仿宋_GB2312" w:eastAsia="仿宋_GB2312"/>
          <w:sz w:val="32"/>
          <w:szCs w:val="32"/>
        </w:rPr>
      </w:pPr>
      <w:r>
        <w:rPr>
          <w:rFonts w:hint="eastAsia" w:ascii="仿宋_GB2312" w:eastAsia="仿宋_GB2312"/>
          <w:sz w:val="32"/>
          <w:szCs w:val="32"/>
        </w:rPr>
        <w:t xml:space="preserve">3.3.1 </w:t>
      </w:r>
      <w:r>
        <w:rPr>
          <w:rFonts w:hint="eastAsia" w:ascii="仿宋_GB2312" w:hAnsi="宋体" w:eastAsia="仿宋_GB2312"/>
          <w:sz w:val="32"/>
          <w:szCs w:val="32"/>
        </w:rPr>
        <w:t>委托人应按照附录</w:t>
      </w:r>
      <w:r>
        <w:rPr>
          <w:rFonts w:hint="eastAsia" w:ascii="仿宋_GB2312" w:eastAsia="仿宋_GB2312"/>
          <w:sz w:val="32"/>
          <w:szCs w:val="32"/>
        </w:rPr>
        <w:t>B</w:t>
      </w:r>
      <w:r>
        <w:rPr>
          <w:rFonts w:hint="eastAsia" w:ascii="仿宋_GB2312" w:hAnsi="宋体" w:eastAsia="仿宋_GB2312"/>
          <w:sz w:val="32"/>
          <w:szCs w:val="32"/>
        </w:rPr>
        <w:t>约定，派遣相应的人员，提供房屋、设备，供监理人无偿使用。</w:t>
      </w:r>
    </w:p>
    <w:p w14:paraId="72238301">
      <w:pPr>
        <w:spacing w:line="360" w:lineRule="auto"/>
        <w:ind w:firstLine="640" w:firstLineChars="200"/>
        <w:rPr>
          <w:rFonts w:ascii="仿宋_GB2312" w:hAnsi="宋体" w:eastAsia="仿宋_GB2312"/>
          <w:sz w:val="32"/>
          <w:szCs w:val="32"/>
        </w:rPr>
      </w:pPr>
      <w:r>
        <w:rPr>
          <w:rFonts w:hint="eastAsia" w:ascii="仿宋_GB2312" w:eastAsia="仿宋_GB2312"/>
          <w:sz w:val="32"/>
          <w:szCs w:val="32"/>
        </w:rPr>
        <w:t xml:space="preserve">3.3.2 </w:t>
      </w:r>
      <w:r>
        <w:rPr>
          <w:rFonts w:hint="eastAsia" w:ascii="仿宋_GB2312" w:hAnsi="宋体" w:eastAsia="仿宋_GB2312"/>
          <w:sz w:val="32"/>
          <w:szCs w:val="32"/>
        </w:rPr>
        <w:t>委托人应负责协调工程建设中所有外部关系，为监理人履行本合同提供必要的外部条件。</w:t>
      </w:r>
    </w:p>
    <w:p w14:paraId="5765B4DF">
      <w:pPr>
        <w:snapToGrid w:val="0"/>
        <w:spacing w:line="360" w:lineRule="auto"/>
        <w:ind w:left="240" w:leftChars="100"/>
        <w:rPr>
          <w:rFonts w:ascii="仿宋_GB2312" w:hAnsi="宋体" w:eastAsia="仿宋_GB2312" w:cs="宋体"/>
          <w:sz w:val="32"/>
          <w:szCs w:val="32"/>
        </w:rPr>
      </w:pPr>
      <w:r>
        <w:rPr>
          <w:rFonts w:hint="eastAsia" w:ascii="仿宋_GB2312" w:eastAsia="仿宋_GB2312"/>
          <w:sz w:val="32"/>
          <w:szCs w:val="32"/>
        </w:rPr>
        <w:t xml:space="preserve">3.4 </w:t>
      </w:r>
      <w:r>
        <w:rPr>
          <w:rFonts w:hint="eastAsia" w:ascii="仿宋_GB2312" w:hAnsi="宋体" w:eastAsia="仿宋_GB2312" w:cs="宋体"/>
          <w:sz w:val="32"/>
          <w:szCs w:val="32"/>
        </w:rPr>
        <w:t>委托人代表</w:t>
      </w:r>
    </w:p>
    <w:p w14:paraId="73D8C46C">
      <w:pPr>
        <w:snapToGrid w:val="0"/>
        <w:spacing w:line="360" w:lineRule="auto"/>
        <w:ind w:firstLine="640" w:firstLineChars="200"/>
        <w:rPr>
          <w:rFonts w:ascii="仿宋_GB2312" w:hAnsi="宋体" w:eastAsia="仿宋_GB2312"/>
          <w:sz w:val="32"/>
          <w:szCs w:val="32"/>
        </w:rPr>
      </w:pPr>
      <w:r>
        <w:rPr>
          <w:rFonts w:hint="eastAsia" w:ascii="仿宋_GB2312" w:hAnsi="宋体" w:eastAsia="仿宋_GB2312"/>
          <w:sz w:val="32"/>
          <w:szCs w:val="32"/>
        </w:rPr>
        <w:t>委托人应授权一名熟悉工程情况的代表，负责与监理人联系。委托人应在双方签订本合同后7天内，将委托人代表的姓名和职责书面告知监理人。当委托人更换委托人代表时，应提前</w:t>
      </w:r>
      <w:r>
        <w:rPr>
          <w:rFonts w:hint="eastAsia" w:ascii="仿宋_GB2312" w:eastAsia="仿宋_GB2312"/>
          <w:sz w:val="32"/>
          <w:szCs w:val="32"/>
        </w:rPr>
        <w:t>7天</w:t>
      </w:r>
      <w:r>
        <w:rPr>
          <w:rFonts w:hint="eastAsia" w:ascii="仿宋_GB2312" w:hAnsi="宋体" w:eastAsia="仿宋_GB2312"/>
          <w:sz w:val="32"/>
          <w:szCs w:val="32"/>
        </w:rPr>
        <w:t>通知监理人。</w:t>
      </w:r>
    </w:p>
    <w:p w14:paraId="5DF45546">
      <w:pPr>
        <w:snapToGrid w:val="0"/>
        <w:spacing w:line="360" w:lineRule="auto"/>
        <w:ind w:left="240" w:leftChars="100"/>
        <w:rPr>
          <w:rFonts w:ascii="仿宋_GB2312" w:hAnsi="宋体" w:eastAsia="仿宋_GB2312" w:cs="宋体"/>
          <w:sz w:val="32"/>
          <w:szCs w:val="32"/>
        </w:rPr>
      </w:pPr>
      <w:r>
        <w:rPr>
          <w:rFonts w:hint="eastAsia" w:ascii="仿宋_GB2312" w:eastAsia="仿宋_GB2312"/>
          <w:sz w:val="32"/>
          <w:szCs w:val="32"/>
        </w:rPr>
        <w:t xml:space="preserve">3.5 </w:t>
      </w:r>
      <w:r>
        <w:rPr>
          <w:rFonts w:hint="eastAsia" w:ascii="仿宋_GB2312" w:hAnsi="宋体" w:eastAsia="仿宋_GB2312" w:cs="宋体"/>
          <w:sz w:val="32"/>
          <w:szCs w:val="32"/>
        </w:rPr>
        <w:t>委托人意见或要求</w:t>
      </w:r>
    </w:p>
    <w:p w14:paraId="017849F5">
      <w:pPr>
        <w:snapToGrid w:val="0"/>
        <w:spacing w:line="360" w:lineRule="auto"/>
        <w:ind w:firstLine="640" w:firstLineChars="200"/>
        <w:rPr>
          <w:rFonts w:ascii="仿宋_GB2312" w:hAnsi="宋体" w:eastAsia="仿宋_GB2312"/>
          <w:sz w:val="32"/>
          <w:szCs w:val="32"/>
        </w:rPr>
      </w:pPr>
      <w:r>
        <w:rPr>
          <w:rFonts w:hint="eastAsia" w:ascii="仿宋_GB2312" w:hAnsi="宋体" w:eastAsia="仿宋_GB2312"/>
          <w:sz w:val="32"/>
          <w:szCs w:val="32"/>
        </w:rPr>
        <w:t>在本合同约定的监理与相关服务工作范围内，委托人对承包人的任何意见或要求应通知监理人，由监理人向承包人发出相应指令。</w:t>
      </w:r>
    </w:p>
    <w:p w14:paraId="7EB9E237">
      <w:pPr>
        <w:snapToGrid w:val="0"/>
        <w:spacing w:line="360" w:lineRule="auto"/>
        <w:ind w:left="240" w:leftChars="100"/>
        <w:rPr>
          <w:rFonts w:ascii="仿宋_GB2312" w:hAnsi="宋体" w:eastAsia="仿宋_GB2312" w:cs="宋体"/>
          <w:sz w:val="32"/>
          <w:szCs w:val="32"/>
        </w:rPr>
      </w:pPr>
      <w:r>
        <w:rPr>
          <w:rFonts w:hint="eastAsia" w:ascii="仿宋_GB2312" w:eastAsia="仿宋_GB2312"/>
          <w:sz w:val="32"/>
          <w:szCs w:val="32"/>
        </w:rPr>
        <w:t xml:space="preserve">3.6 </w:t>
      </w:r>
      <w:r>
        <w:rPr>
          <w:rFonts w:hint="eastAsia" w:ascii="仿宋_GB2312" w:hAnsi="宋体" w:eastAsia="仿宋_GB2312" w:cs="宋体"/>
          <w:sz w:val="32"/>
          <w:szCs w:val="32"/>
        </w:rPr>
        <w:t>答复</w:t>
      </w:r>
    </w:p>
    <w:p w14:paraId="3C284A3F">
      <w:pPr>
        <w:snapToGrid w:val="0"/>
        <w:spacing w:line="360" w:lineRule="auto"/>
        <w:ind w:firstLine="640" w:firstLineChars="200"/>
        <w:rPr>
          <w:rFonts w:ascii="仿宋_GB2312" w:hAnsi="宋体" w:eastAsia="仿宋_GB2312"/>
          <w:sz w:val="32"/>
          <w:szCs w:val="32"/>
        </w:rPr>
      </w:pPr>
      <w:r>
        <w:rPr>
          <w:rFonts w:hint="eastAsia" w:ascii="仿宋_GB2312" w:hAnsi="宋体" w:eastAsia="仿宋_GB2312"/>
          <w:sz w:val="32"/>
          <w:szCs w:val="32"/>
        </w:rPr>
        <w:t>委托人应在专用条件约定的时间内，对监理人以书面形式提交并要求作出决定的事宜，给予书面答复。逾期未答复的，视为委托人认可。</w:t>
      </w:r>
    </w:p>
    <w:p w14:paraId="70B53869">
      <w:pPr>
        <w:snapToGrid w:val="0"/>
        <w:spacing w:line="360" w:lineRule="auto"/>
        <w:ind w:left="240" w:leftChars="100"/>
        <w:rPr>
          <w:rFonts w:ascii="仿宋_GB2312" w:hAnsi="宋体" w:eastAsia="仿宋_GB2312" w:cs="宋体"/>
          <w:sz w:val="32"/>
          <w:szCs w:val="32"/>
        </w:rPr>
      </w:pPr>
      <w:r>
        <w:rPr>
          <w:rFonts w:hint="eastAsia" w:ascii="仿宋_GB2312" w:eastAsia="仿宋_GB2312"/>
          <w:sz w:val="32"/>
          <w:szCs w:val="32"/>
        </w:rPr>
        <w:t xml:space="preserve">3.7 </w:t>
      </w:r>
      <w:r>
        <w:rPr>
          <w:rFonts w:hint="eastAsia" w:ascii="仿宋_GB2312" w:hAnsi="宋体" w:eastAsia="仿宋_GB2312" w:cs="宋体"/>
          <w:sz w:val="32"/>
          <w:szCs w:val="32"/>
        </w:rPr>
        <w:t>支付</w:t>
      </w:r>
    </w:p>
    <w:p w14:paraId="73421911">
      <w:pPr>
        <w:snapToGrid w:val="0"/>
        <w:spacing w:line="360" w:lineRule="auto"/>
        <w:ind w:firstLine="640" w:firstLineChars="200"/>
        <w:rPr>
          <w:rFonts w:ascii="仿宋_GB2312" w:hAnsi="宋体" w:eastAsia="仿宋_GB2312"/>
          <w:sz w:val="32"/>
          <w:szCs w:val="32"/>
        </w:rPr>
      </w:pPr>
      <w:r>
        <w:rPr>
          <w:rFonts w:hint="eastAsia" w:ascii="仿宋_GB2312" w:hAnsi="宋体" w:eastAsia="仿宋_GB2312"/>
          <w:sz w:val="32"/>
          <w:szCs w:val="32"/>
        </w:rPr>
        <w:t>委托人应按本合同约定，向监理人支付酬金。</w:t>
      </w:r>
    </w:p>
    <w:p w14:paraId="49C88402">
      <w:pPr>
        <w:snapToGrid w:val="0"/>
        <w:spacing w:line="360" w:lineRule="auto"/>
        <w:rPr>
          <w:rFonts w:ascii="仿宋_GB2312" w:hAnsi="黑体" w:eastAsia="仿宋_GB2312"/>
          <w:b/>
          <w:bCs/>
          <w:sz w:val="32"/>
          <w:szCs w:val="32"/>
        </w:rPr>
      </w:pPr>
      <w:r>
        <w:rPr>
          <w:rFonts w:hint="eastAsia" w:ascii="仿宋_GB2312" w:hAnsi="黑体" w:eastAsia="仿宋_GB2312"/>
          <w:b/>
          <w:bCs/>
          <w:sz w:val="32"/>
          <w:szCs w:val="32"/>
        </w:rPr>
        <w:t>4. 违约责任</w:t>
      </w:r>
    </w:p>
    <w:p w14:paraId="2C7D0AAF">
      <w:pPr>
        <w:spacing w:line="360" w:lineRule="auto"/>
        <w:ind w:left="240" w:leftChars="100"/>
        <w:rPr>
          <w:rFonts w:ascii="仿宋_GB2312" w:hAnsi="宋体" w:eastAsia="仿宋_GB2312" w:cs="宋体"/>
          <w:sz w:val="32"/>
          <w:szCs w:val="32"/>
        </w:rPr>
      </w:pPr>
      <w:r>
        <w:rPr>
          <w:rFonts w:hint="eastAsia" w:ascii="仿宋_GB2312" w:eastAsia="仿宋_GB2312"/>
          <w:sz w:val="32"/>
          <w:szCs w:val="32"/>
        </w:rPr>
        <w:t xml:space="preserve">4.1 </w:t>
      </w:r>
      <w:r>
        <w:rPr>
          <w:rFonts w:hint="eastAsia" w:ascii="仿宋_GB2312" w:hAnsi="宋体" w:eastAsia="仿宋_GB2312" w:cs="宋体"/>
          <w:sz w:val="32"/>
          <w:szCs w:val="32"/>
        </w:rPr>
        <w:t>监理人的违约责任</w:t>
      </w:r>
    </w:p>
    <w:p w14:paraId="540F99C4">
      <w:pPr>
        <w:adjustRightInd w:val="0"/>
        <w:snapToGrid w:val="0"/>
        <w:spacing w:line="360" w:lineRule="auto"/>
        <w:ind w:firstLine="640" w:firstLineChars="200"/>
        <w:rPr>
          <w:rFonts w:ascii="仿宋_GB2312" w:eastAsia="仿宋_GB2312"/>
          <w:sz w:val="32"/>
          <w:szCs w:val="32"/>
        </w:rPr>
      </w:pPr>
      <w:r>
        <w:rPr>
          <w:rFonts w:hint="eastAsia" w:ascii="仿宋_GB2312" w:hAnsi="宋体" w:eastAsia="仿宋_GB2312"/>
          <w:sz w:val="32"/>
          <w:szCs w:val="32"/>
        </w:rPr>
        <w:t>监理人未履行本合同义务的，应承担相应的责任。</w:t>
      </w:r>
    </w:p>
    <w:p w14:paraId="758AC4E6">
      <w:pPr>
        <w:adjustRightInd w:val="0"/>
        <w:snapToGrid w:val="0"/>
        <w:spacing w:line="360" w:lineRule="auto"/>
        <w:ind w:firstLine="640" w:firstLineChars="200"/>
        <w:rPr>
          <w:rFonts w:ascii="仿宋_GB2312" w:eastAsia="仿宋_GB2312"/>
          <w:sz w:val="32"/>
          <w:szCs w:val="32"/>
        </w:rPr>
      </w:pPr>
      <w:r>
        <w:rPr>
          <w:rFonts w:hint="eastAsia" w:ascii="仿宋_GB2312" w:eastAsia="仿宋_GB2312"/>
          <w:sz w:val="32"/>
          <w:szCs w:val="32"/>
        </w:rPr>
        <w:t xml:space="preserve">4.1.1 </w:t>
      </w:r>
      <w:r>
        <w:rPr>
          <w:rFonts w:hint="eastAsia" w:ascii="仿宋_GB2312" w:hAnsi="宋体" w:eastAsia="仿宋_GB2312"/>
          <w:sz w:val="32"/>
          <w:szCs w:val="32"/>
        </w:rPr>
        <w:t>因监理人</w:t>
      </w:r>
      <w:r>
        <w:rPr>
          <w:rFonts w:hint="eastAsia" w:ascii="仿宋_GB2312" w:hAnsi="宋体" w:eastAsia="仿宋_GB2312" w:cs="宋体"/>
          <w:sz w:val="32"/>
          <w:szCs w:val="32"/>
        </w:rPr>
        <w:t>违反本合同约定</w:t>
      </w:r>
      <w:r>
        <w:rPr>
          <w:rFonts w:hint="eastAsia" w:ascii="仿宋_GB2312" w:hAnsi="宋体" w:eastAsia="仿宋_GB2312"/>
          <w:sz w:val="32"/>
          <w:szCs w:val="32"/>
        </w:rPr>
        <w:t>给委托人造成损失的，监理人应当赔偿委托人损失。赔偿金额的确定方法在专用条件中约定。</w:t>
      </w:r>
      <w:r>
        <w:rPr>
          <w:rFonts w:hint="eastAsia" w:ascii="仿宋_GB2312" w:eastAsia="仿宋_GB2312"/>
          <w:sz w:val="32"/>
          <w:szCs w:val="32"/>
        </w:rPr>
        <w:t>监理人承担部分赔偿责任的，其承担赔偿金额由双方协商确定。</w:t>
      </w:r>
    </w:p>
    <w:p w14:paraId="67B09D72">
      <w:pPr>
        <w:spacing w:line="360" w:lineRule="auto"/>
        <w:ind w:firstLine="640" w:firstLineChars="200"/>
        <w:rPr>
          <w:rFonts w:ascii="仿宋_GB2312" w:hAnsi="宋体" w:eastAsia="仿宋_GB2312"/>
          <w:sz w:val="32"/>
          <w:szCs w:val="32"/>
        </w:rPr>
      </w:pPr>
      <w:r>
        <w:rPr>
          <w:rFonts w:hint="eastAsia" w:ascii="仿宋_GB2312" w:eastAsia="仿宋_GB2312"/>
          <w:sz w:val="32"/>
          <w:szCs w:val="32"/>
        </w:rPr>
        <w:t xml:space="preserve">4.1.2 </w:t>
      </w:r>
      <w:r>
        <w:rPr>
          <w:rFonts w:hint="eastAsia" w:ascii="仿宋_GB2312" w:hAnsi="宋体" w:eastAsia="仿宋_GB2312"/>
          <w:sz w:val="32"/>
          <w:szCs w:val="32"/>
        </w:rPr>
        <w:t>监理人向委托人的索赔不成立时，监理人应赔偿委托人由此发生的费用。</w:t>
      </w:r>
    </w:p>
    <w:p w14:paraId="7D94FBD9">
      <w:pPr>
        <w:snapToGrid w:val="0"/>
        <w:spacing w:line="360" w:lineRule="auto"/>
        <w:ind w:firstLine="320" w:firstLineChars="100"/>
        <w:rPr>
          <w:rFonts w:ascii="仿宋_GB2312" w:hAnsi="宋体" w:eastAsia="仿宋_GB2312" w:cs="宋体"/>
          <w:sz w:val="32"/>
          <w:szCs w:val="32"/>
        </w:rPr>
      </w:pPr>
      <w:r>
        <w:rPr>
          <w:rFonts w:hint="eastAsia" w:ascii="仿宋_GB2312" w:eastAsia="仿宋_GB2312"/>
          <w:sz w:val="32"/>
          <w:szCs w:val="32"/>
        </w:rPr>
        <w:t>4.2 委</w:t>
      </w:r>
      <w:r>
        <w:rPr>
          <w:rFonts w:hint="eastAsia" w:ascii="仿宋_GB2312" w:hAnsi="宋体" w:eastAsia="仿宋_GB2312" w:cs="宋体"/>
          <w:sz w:val="32"/>
          <w:szCs w:val="32"/>
        </w:rPr>
        <w:t>托人的违约责任</w:t>
      </w:r>
    </w:p>
    <w:p w14:paraId="578EA114">
      <w:pPr>
        <w:adjustRightInd w:val="0"/>
        <w:snapToGrid w:val="0"/>
        <w:spacing w:line="360" w:lineRule="auto"/>
        <w:ind w:firstLine="640" w:firstLineChars="200"/>
        <w:rPr>
          <w:rFonts w:ascii="仿宋_GB2312" w:hAnsi="宋体" w:eastAsia="仿宋_GB2312" w:cs="宋体"/>
          <w:sz w:val="32"/>
          <w:szCs w:val="32"/>
        </w:rPr>
      </w:pPr>
      <w:r>
        <w:rPr>
          <w:rFonts w:hint="eastAsia" w:ascii="仿宋_GB2312" w:hAnsi="宋体" w:eastAsia="仿宋_GB2312"/>
          <w:sz w:val="32"/>
          <w:szCs w:val="32"/>
        </w:rPr>
        <w:t>委托人未履行本合同义务的，应承担相应的责任。</w:t>
      </w:r>
    </w:p>
    <w:p w14:paraId="15C64FD0">
      <w:pPr>
        <w:adjustRightInd w:val="0"/>
        <w:snapToGrid w:val="0"/>
        <w:spacing w:line="360" w:lineRule="auto"/>
        <w:ind w:firstLine="640" w:firstLineChars="200"/>
        <w:rPr>
          <w:rFonts w:ascii="仿宋_GB2312" w:hAnsi="宋体" w:eastAsia="仿宋_GB2312"/>
          <w:sz w:val="32"/>
          <w:szCs w:val="32"/>
        </w:rPr>
      </w:pPr>
      <w:r>
        <w:rPr>
          <w:rFonts w:hint="eastAsia" w:ascii="仿宋_GB2312" w:eastAsia="仿宋_GB2312"/>
          <w:sz w:val="32"/>
          <w:szCs w:val="32"/>
        </w:rPr>
        <w:t xml:space="preserve">4.2.1 </w:t>
      </w:r>
      <w:r>
        <w:rPr>
          <w:rFonts w:hint="eastAsia" w:ascii="仿宋_GB2312" w:hAnsi="宋体" w:eastAsia="仿宋_GB2312"/>
          <w:sz w:val="32"/>
          <w:szCs w:val="32"/>
        </w:rPr>
        <w:t>委托人违反本合同约定造成监理人损失的，委托人应予以赔偿。</w:t>
      </w:r>
    </w:p>
    <w:p w14:paraId="73F0A657">
      <w:pPr>
        <w:adjustRightInd w:val="0"/>
        <w:snapToGrid w:val="0"/>
        <w:spacing w:line="360" w:lineRule="auto"/>
        <w:ind w:firstLine="640" w:firstLineChars="200"/>
        <w:rPr>
          <w:rFonts w:ascii="仿宋_GB2312" w:hAnsi="宋体" w:eastAsia="仿宋_GB2312"/>
          <w:sz w:val="32"/>
          <w:szCs w:val="32"/>
        </w:rPr>
      </w:pPr>
      <w:r>
        <w:rPr>
          <w:rFonts w:hint="eastAsia" w:ascii="仿宋_GB2312" w:eastAsia="仿宋_GB2312"/>
          <w:sz w:val="32"/>
          <w:szCs w:val="32"/>
        </w:rPr>
        <w:t xml:space="preserve">4.2.2 </w:t>
      </w:r>
      <w:r>
        <w:rPr>
          <w:rFonts w:hint="eastAsia" w:ascii="仿宋_GB2312" w:hAnsi="宋体" w:eastAsia="仿宋_GB2312"/>
          <w:sz w:val="32"/>
          <w:szCs w:val="32"/>
        </w:rPr>
        <w:t>委托人向监理人的索赔不成立时，应赔偿监理人由此引起的费用。</w:t>
      </w:r>
    </w:p>
    <w:p w14:paraId="722A5841">
      <w:pPr>
        <w:spacing w:line="360" w:lineRule="auto"/>
        <w:ind w:firstLine="640" w:firstLineChars="200"/>
        <w:rPr>
          <w:rFonts w:ascii="仿宋_GB2312" w:hAnsi="宋体" w:eastAsia="仿宋_GB2312"/>
          <w:sz w:val="32"/>
          <w:szCs w:val="32"/>
        </w:rPr>
      </w:pPr>
      <w:r>
        <w:rPr>
          <w:rFonts w:hint="eastAsia" w:ascii="仿宋_GB2312" w:eastAsia="仿宋_GB2312"/>
          <w:sz w:val="32"/>
          <w:szCs w:val="32"/>
        </w:rPr>
        <w:t xml:space="preserve">4.2.3 </w:t>
      </w:r>
      <w:r>
        <w:rPr>
          <w:rFonts w:hint="eastAsia" w:ascii="仿宋_GB2312" w:hAnsi="宋体" w:eastAsia="仿宋_GB2312"/>
          <w:sz w:val="32"/>
          <w:szCs w:val="32"/>
        </w:rPr>
        <w:t>委托人未能按期支付酬金超过</w:t>
      </w:r>
      <w:r>
        <w:rPr>
          <w:rFonts w:hint="eastAsia" w:ascii="仿宋_GB2312" w:eastAsia="仿宋_GB2312"/>
          <w:sz w:val="32"/>
          <w:szCs w:val="32"/>
        </w:rPr>
        <w:t>28</w:t>
      </w:r>
      <w:r>
        <w:rPr>
          <w:rFonts w:hint="eastAsia" w:ascii="仿宋_GB2312" w:hAnsi="宋体" w:eastAsia="仿宋_GB2312"/>
          <w:sz w:val="32"/>
          <w:szCs w:val="32"/>
        </w:rPr>
        <w:t>天，</w:t>
      </w:r>
      <w:r>
        <w:rPr>
          <w:rFonts w:hint="eastAsia" w:ascii="仿宋_GB2312" w:hAnsi="宋体" w:eastAsia="仿宋_GB2312" w:cs="宋体"/>
          <w:sz w:val="32"/>
          <w:szCs w:val="32"/>
        </w:rPr>
        <w:t>应按专用条件约定支付逾期付款利息</w:t>
      </w:r>
      <w:r>
        <w:rPr>
          <w:rFonts w:hint="eastAsia" w:ascii="仿宋_GB2312" w:hAnsi="宋体" w:eastAsia="仿宋_GB2312"/>
          <w:sz w:val="32"/>
          <w:szCs w:val="32"/>
        </w:rPr>
        <w:t>。</w:t>
      </w:r>
    </w:p>
    <w:p w14:paraId="5D88B12B">
      <w:pPr>
        <w:spacing w:line="360" w:lineRule="auto"/>
        <w:ind w:firstLine="320" w:firstLineChars="100"/>
        <w:rPr>
          <w:rFonts w:ascii="仿宋_GB2312" w:hAnsi="宋体" w:eastAsia="仿宋_GB2312"/>
          <w:sz w:val="32"/>
          <w:szCs w:val="32"/>
        </w:rPr>
      </w:pPr>
      <w:r>
        <w:rPr>
          <w:rFonts w:hint="eastAsia" w:ascii="仿宋_GB2312" w:eastAsia="仿宋_GB2312"/>
          <w:sz w:val="32"/>
          <w:szCs w:val="32"/>
        </w:rPr>
        <w:t xml:space="preserve">4.3 </w:t>
      </w:r>
      <w:r>
        <w:rPr>
          <w:rFonts w:hint="eastAsia" w:ascii="仿宋_GB2312" w:hAnsi="宋体" w:eastAsia="仿宋_GB2312"/>
          <w:sz w:val="32"/>
          <w:szCs w:val="32"/>
        </w:rPr>
        <w:t>除外责任</w:t>
      </w:r>
    </w:p>
    <w:p w14:paraId="6001ACB0">
      <w:pPr>
        <w:adjustRightInd w:val="0"/>
        <w:snapToGrid w:val="0"/>
        <w:spacing w:line="360" w:lineRule="auto"/>
        <w:ind w:firstLine="640" w:firstLineChars="200"/>
        <w:rPr>
          <w:rFonts w:ascii="仿宋_GB2312" w:eastAsia="仿宋_GB2312"/>
          <w:sz w:val="32"/>
          <w:szCs w:val="32"/>
        </w:rPr>
      </w:pPr>
      <w:r>
        <w:rPr>
          <w:rFonts w:hint="eastAsia" w:ascii="仿宋_GB2312" w:hAnsi="宋体" w:eastAsia="仿宋_GB2312"/>
          <w:sz w:val="32"/>
          <w:szCs w:val="32"/>
        </w:rPr>
        <w:t>因非监理人的原因，且监理人无过错，发生工程质量事故、安全事故、工期延误等造成的损失，监理人不承担赔偿责任。</w:t>
      </w:r>
    </w:p>
    <w:p w14:paraId="3B4AD59F">
      <w:pPr>
        <w:snapToGrid w:val="0"/>
        <w:spacing w:line="360" w:lineRule="auto"/>
        <w:ind w:firstLine="640" w:firstLineChars="200"/>
        <w:rPr>
          <w:rFonts w:ascii="仿宋_GB2312" w:hAnsi="宋体" w:eastAsia="仿宋_GB2312"/>
          <w:sz w:val="32"/>
          <w:szCs w:val="32"/>
        </w:rPr>
      </w:pPr>
      <w:r>
        <w:rPr>
          <w:rFonts w:hint="eastAsia" w:ascii="仿宋_GB2312" w:hAnsi="宋体" w:eastAsia="仿宋_GB2312"/>
          <w:sz w:val="32"/>
          <w:szCs w:val="32"/>
        </w:rPr>
        <w:t>因不可抗力导致本合同全部或部分不能履行时，双方各自承担其因此而造成的损失、损害。</w:t>
      </w:r>
    </w:p>
    <w:p w14:paraId="40F20E00">
      <w:pPr>
        <w:snapToGrid w:val="0"/>
        <w:spacing w:line="360" w:lineRule="auto"/>
        <w:rPr>
          <w:rFonts w:ascii="仿宋_GB2312" w:hAnsi="宋体" w:eastAsia="仿宋_GB2312"/>
          <w:b/>
          <w:bCs/>
          <w:sz w:val="32"/>
          <w:szCs w:val="32"/>
        </w:rPr>
      </w:pPr>
      <w:r>
        <w:rPr>
          <w:rFonts w:hint="eastAsia" w:ascii="仿宋_GB2312" w:hAnsi="黑体" w:eastAsia="仿宋_GB2312"/>
          <w:b/>
          <w:bCs/>
          <w:sz w:val="32"/>
          <w:szCs w:val="32"/>
        </w:rPr>
        <w:t>5. 支付</w:t>
      </w:r>
    </w:p>
    <w:p w14:paraId="210FFCA7">
      <w:pPr>
        <w:snapToGrid w:val="0"/>
        <w:spacing w:line="360" w:lineRule="auto"/>
        <w:ind w:left="240" w:leftChars="100"/>
        <w:rPr>
          <w:rFonts w:ascii="仿宋_GB2312" w:hAnsi="宋体" w:eastAsia="仿宋_GB2312"/>
          <w:bCs/>
          <w:sz w:val="32"/>
          <w:szCs w:val="32"/>
        </w:rPr>
      </w:pPr>
      <w:r>
        <w:rPr>
          <w:rFonts w:hint="eastAsia" w:ascii="仿宋_GB2312" w:eastAsia="仿宋_GB2312"/>
          <w:sz w:val="32"/>
          <w:szCs w:val="32"/>
        </w:rPr>
        <w:t xml:space="preserve">5.1 </w:t>
      </w:r>
      <w:r>
        <w:rPr>
          <w:rFonts w:hint="eastAsia" w:ascii="仿宋_GB2312" w:hAnsi="宋体" w:eastAsia="仿宋_GB2312"/>
          <w:bCs/>
          <w:sz w:val="32"/>
          <w:szCs w:val="32"/>
        </w:rPr>
        <w:t>支付货币</w:t>
      </w:r>
    </w:p>
    <w:p w14:paraId="7D5C66A9">
      <w:pPr>
        <w:snapToGrid w:val="0"/>
        <w:spacing w:line="360" w:lineRule="auto"/>
        <w:ind w:firstLine="640" w:firstLineChars="200"/>
        <w:rPr>
          <w:rFonts w:ascii="仿宋_GB2312" w:hAnsi="宋体" w:eastAsia="仿宋_GB2312"/>
          <w:bCs/>
          <w:sz w:val="32"/>
          <w:szCs w:val="32"/>
        </w:rPr>
      </w:pPr>
      <w:r>
        <w:rPr>
          <w:rFonts w:hint="eastAsia" w:ascii="仿宋_GB2312" w:eastAsia="仿宋_GB2312"/>
          <w:sz w:val="32"/>
          <w:szCs w:val="32"/>
        </w:rPr>
        <w:t>除专用条件另有约定外，酬金均以人民币支付。涉及外币支付的，</w:t>
      </w:r>
      <w:r>
        <w:rPr>
          <w:rFonts w:hint="eastAsia" w:ascii="仿宋_GB2312" w:hAnsi="宋体" w:eastAsia="仿宋_GB2312"/>
          <w:sz w:val="32"/>
          <w:szCs w:val="32"/>
        </w:rPr>
        <w:t>所采用的货币种类、比例和汇率在专用条件中约定。</w:t>
      </w:r>
    </w:p>
    <w:p w14:paraId="5CDB52FC">
      <w:pPr>
        <w:snapToGrid w:val="0"/>
        <w:spacing w:line="360" w:lineRule="auto"/>
        <w:ind w:left="240" w:leftChars="100"/>
        <w:rPr>
          <w:rFonts w:ascii="仿宋_GB2312" w:hAnsi="宋体" w:eastAsia="仿宋_GB2312"/>
          <w:bCs/>
          <w:sz w:val="32"/>
          <w:szCs w:val="32"/>
        </w:rPr>
      </w:pPr>
      <w:r>
        <w:rPr>
          <w:rFonts w:hint="eastAsia" w:ascii="仿宋_GB2312" w:eastAsia="仿宋_GB2312"/>
          <w:sz w:val="32"/>
          <w:szCs w:val="32"/>
        </w:rPr>
        <w:t xml:space="preserve">5.2 </w:t>
      </w:r>
      <w:r>
        <w:rPr>
          <w:rFonts w:hint="eastAsia" w:ascii="仿宋_GB2312" w:hAnsi="宋体" w:eastAsia="仿宋_GB2312"/>
          <w:sz w:val="32"/>
          <w:szCs w:val="32"/>
        </w:rPr>
        <w:t>支付申请</w:t>
      </w:r>
    </w:p>
    <w:p w14:paraId="650B7578">
      <w:pPr>
        <w:snapToGrid w:val="0"/>
        <w:spacing w:line="360" w:lineRule="auto"/>
        <w:ind w:firstLine="640" w:firstLineChars="200"/>
        <w:rPr>
          <w:rFonts w:ascii="仿宋_GB2312" w:eastAsia="仿宋_GB2312"/>
          <w:sz w:val="32"/>
          <w:szCs w:val="32"/>
        </w:rPr>
      </w:pPr>
      <w:r>
        <w:rPr>
          <w:rFonts w:hint="eastAsia" w:ascii="仿宋_GB2312" w:eastAsia="仿宋_GB2312"/>
          <w:sz w:val="32"/>
          <w:szCs w:val="32"/>
        </w:rPr>
        <w:t>监理人应在本合同约定的每次应付款时间的7天前，向委托人提交支付申请书。支付申请书应当说明当期应付款总额，并列出当期应支付的款项及其金额。</w:t>
      </w:r>
    </w:p>
    <w:p w14:paraId="03A67A54">
      <w:pPr>
        <w:snapToGrid w:val="0"/>
        <w:spacing w:line="360" w:lineRule="auto"/>
        <w:rPr>
          <w:rFonts w:ascii="仿宋_GB2312" w:eastAsia="仿宋_GB2312"/>
          <w:sz w:val="32"/>
          <w:szCs w:val="32"/>
        </w:rPr>
      </w:pPr>
      <w:r>
        <w:rPr>
          <w:rFonts w:hint="eastAsia" w:ascii="仿宋_GB2312" w:eastAsia="仿宋_GB2312"/>
          <w:sz w:val="32"/>
          <w:szCs w:val="32"/>
        </w:rPr>
        <w:t xml:space="preserve"> 5.3 支付酬金</w:t>
      </w:r>
    </w:p>
    <w:p w14:paraId="24AF940D">
      <w:pPr>
        <w:snapToGrid w:val="0"/>
        <w:spacing w:line="360" w:lineRule="auto"/>
        <w:ind w:firstLine="480"/>
        <w:rPr>
          <w:rFonts w:ascii="仿宋_GB2312" w:eastAsia="仿宋_GB2312"/>
          <w:sz w:val="32"/>
          <w:szCs w:val="32"/>
        </w:rPr>
      </w:pPr>
      <w:r>
        <w:rPr>
          <w:rFonts w:hint="eastAsia" w:ascii="仿宋_GB2312" w:eastAsia="仿宋_GB2312"/>
          <w:sz w:val="32"/>
          <w:szCs w:val="32"/>
        </w:rPr>
        <w:t>支付的</w:t>
      </w:r>
      <w:r>
        <w:rPr>
          <w:rFonts w:hint="eastAsia" w:ascii="仿宋_GB2312" w:hAnsi="宋体" w:eastAsia="仿宋_GB2312"/>
          <w:sz w:val="32"/>
          <w:szCs w:val="32"/>
        </w:rPr>
        <w:t>酬金</w:t>
      </w:r>
      <w:r>
        <w:rPr>
          <w:rFonts w:hint="eastAsia" w:ascii="仿宋_GB2312" w:eastAsia="仿宋_GB2312"/>
          <w:sz w:val="32"/>
          <w:szCs w:val="32"/>
        </w:rPr>
        <w:t>包括正常工作酬金、附加工作酬金、合理化建议奖励金额及费用。</w:t>
      </w:r>
    </w:p>
    <w:p w14:paraId="7ECF7EA6">
      <w:pPr>
        <w:snapToGrid w:val="0"/>
        <w:spacing w:line="360" w:lineRule="auto"/>
        <w:rPr>
          <w:rFonts w:ascii="仿宋_GB2312" w:hAnsi="宋体" w:eastAsia="仿宋_GB2312"/>
          <w:bCs/>
          <w:sz w:val="32"/>
          <w:szCs w:val="32"/>
        </w:rPr>
      </w:pPr>
      <w:r>
        <w:rPr>
          <w:rFonts w:hint="eastAsia" w:ascii="仿宋_GB2312" w:eastAsia="仿宋_GB2312"/>
          <w:sz w:val="32"/>
          <w:szCs w:val="32"/>
        </w:rPr>
        <w:t xml:space="preserve">  5.4 </w:t>
      </w:r>
      <w:r>
        <w:rPr>
          <w:rFonts w:hint="eastAsia" w:ascii="仿宋_GB2312" w:hAnsi="宋体" w:eastAsia="仿宋_GB2312"/>
          <w:bCs/>
          <w:sz w:val="32"/>
          <w:szCs w:val="32"/>
        </w:rPr>
        <w:t>有争议部分的付款</w:t>
      </w:r>
    </w:p>
    <w:p w14:paraId="793AB4E4">
      <w:pPr>
        <w:snapToGrid w:val="0"/>
        <w:spacing w:line="360" w:lineRule="auto"/>
        <w:ind w:firstLine="640" w:firstLineChars="200"/>
        <w:rPr>
          <w:rFonts w:ascii="仿宋_GB2312" w:hAnsi="宋体" w:eastAsia="仿宋_GB2312"/>
        </w:rPr>
      </w:pPr>
      <w:r>
        <w:rPr>
          <w:rFonts w:hint="eastAsia" w:ascii="仿宋_GB2312" w:hAnsi="宋体" w:eastAsia="仿宋_GB2312"/>
          <w:sz w:val="32"/>
          <w:szCs w:val="32"/>
        </w:rPr>
        <w:t>委托人对监理人提交的支付申请书有异议时，应当在收到监理人提交的支付申请书后</w:t>
      </w:r>
      <w:r>
        <w:rPr>
          <w:rFonts w:hint="eastAsia" w:ascii="仿宋_GB2312" w:eastAsia="仿宋_GB2312"/>
          <w:sz w:val="32"/>
          <w:szCs w:val="32"/>
        </w:rPr>
        <w:t>7</w:t>
      </w:r>
      <w:r>
        <w:rPr>
          <w:rFonts w:hint="eastAsia" w:ascii="仿宋_GB2312" w:hAnsi="宋体" w:eastAsia="仿宋_GB2312"/>
          <w:sz w:val="32"/>
          <w:szCs w:val="32"/>
        </w:rPr>
        <w:t>天内，以书面形式向监理人发出异议通知。无异议部分的款项应按期支付，有异议部分的款项按第7条约定办理。</w:t>
      </w:r>
    </w:p>
    <w:p w14:paraId="5C3A8224">
      <w:pPr>
        <w:snapToGrid w:val="0"/>
        <w:spacing w:line="360" w:lineRule="auto"/>
        <w:rPr>
          <w:rFonts w:ascii="仿宋_GB2312" w:hAnsi="黑体" w:eastAsia="仿宋_GB2312"/>
          <w:b/>
          <w:bCs/>
          <w:color w:val="FF0000"/>
          <w:sz w:val="32"/>
          <w:szCs w:val="32"/>
        </w:rPr>
      </w:pPr>
      <w:r>
        <w:rPr>
          <w:rFonts w:hint="eastAsia" w:ascii="仿宋_GB2312" w:hAnsi="黑体" w:eastAsia="仿宋_GB2312"/>
          <w:b/>
          <w:bCs/>
          <w:sz w:val="32"/>
          <w:szCs w:val="32"/>
        </w:rPr>
        <w:t>6. 合同生效、变更、暂停、解除与终止</w:t>
      </w:r>
    </w:p>
    <w:p w14:paraId="4B9F8DE6">
      <w:pPr>
        <w:spacing w:line="360" w:lineRule="auto"/>
        <w:ind w:left="240" w:leftChars="100"/>
        <w:rPr>
          <w:rFonts w:ascii="仿宋_GB2312" w:hAnsi="宋体" w:eastAsia="仿宋_GB2312"/>
          <w:sz w:val="32"/>
          <w:szCs w:val="32"/>
        </w:rPr>
      </w:pPr>
      <w:r>
        <w:rPr>
          <w:rFonts w:hint="eastAsia" w:ascii="仿宋_GB2312" w:eastAsia="仿宋_GB2312"/>
          <w:sz w:val="32"/>
          <w:szCs w:val="32"/>
        </w:rPr>
        <w:t>6.1</w:t>
      </w:r>
      <w:r>
        <w:rPr>
          <w:rFonts w:hint="eastAsia" w:ascii="仿宋_GB2312" w:hAnsi="宋体" w:eastAsia="仿宋_GB2312"/>
          <w:sz w:val="32"/>
          <w:szCs w:val="32"/>
        </w:rPr>
        <w:t>生效</w:t>
      </w:r>
    </w:p>
    <w:p w14:paraId="43137CD5">
      <w:pPr>
        <w:spacing w:line="360" w:lineRule="auto"/>
        <w:ind w:firstLine="640" w:firstLineChars="200"/>
        <w:rPr>
          <w:rFonts w:ascii="仿宋_GB2312" w:eastAsia="仿宋_GB2312"/>
          <w:sz w:val="32"/>
          <w:szCs w:val="32"/>
        </w:rPr>
      </w:pPr>
      <w:r>
        <w:rPr>
          <w:rFonts w:hint="eastAsia" w:ascii="仿宋_GB2312" w:eastAsia="仿宋_GB2312"/>
          <w:sz w:val="32"/>
          <w:szCs w:val="32"/>
        </w:rPr>
        <w:t>除法律另有规定或者专用条件另有约定外，委托人和监理人的法定代表人或其授权代理人在协议书上签字并盖单位章后本合同生效。</w:t>
      </w:r>
    </w:p>
    <w:p w14:paraId="5DA8CDC5">
      <w:pPr>
        <w:snapToGrid w:val="0"/>
        <w:spacing w:line="360" w:lineRule="auto"/>
        <w:ind w:left="240" w:leftChars="100"/>
        <w:rPr>
          <w:rFonts w:ascii="仿宋_GB2312" w:hAnsi="宋体" w:eastAsia="仿宋_GB2312"/>
          <w:bCs/>
          <w:sz w:val="32"/>
          <w:szCs w:val="32"/>
        </w:rPr>
      </w:pPr>
      <w:r>
        <w:rPr>
          <w:rFonts w:hint="eastAsia" w:ascii="仿宋_GB2312" w:eastAsia="仿宋_GB2312"/>
          <w:sz w:val="32"/>
          <w:szCs w:val="32"/>
        </w:rPr>
        <w:t>6.2</w:t>
      </w:r>
      <w:r>
        <w:rPr>
          <w:rFonts w:hint="eastAsia" w:ascii="仿宋_GB2312" w:hAnsi="宋体" w:eastAsia="仿宋_GB2312"/>
          <w:bCs/>
          <w:sz w:val="32"/>
          <w:szCs w:val="32"/>
        </w:rPr>
        <w:t>变更</w:t>
      </w:r>
    </w:p>
    <w:p w14:paraId="2FEAE8F7">
      <w:pPr>
        <w:snapToGrid w:val="0"/>
        <w:spacing w:line="360" w:lineRule="auto"/>
        <w:ind w:firstLine="640" w:firstLineChars="200"/>
        <w:rPr>
          <w:rFonts w:ascii="仿宋_GB2312" w:hAnsi="宋体" w:eastAsia="仿宋_GB2312"/>
          <w:sz w:val="32"/>
          <w:szCs w:val="32"/>
        </w:rPr>
      </w:pPr>
      <w:r>
        <w:rPr>
          <w:rFonts w:hint="eastAsia" w:ascii="仿宋_GB2312" w:hAnsi="宋体" w:eastAsia="仿宋_GB2312"/>
          <w:sz w:val="32"/>
          <w:szCs w:val="32"/>
        </w:rPr>
        <w:t>6.2.1 任何一方提出变更请求时，双方经协商一致后可进行变更。</w:t>
      </w:r>
    </w:p>
    <w:p w14:paraId="61F822DF">
      <w:pPr>
        <w:adjustRightInd w:val="0"/>
        <w:snapToGrid w:val="0"/>
        <w:spacing w:line="360" w:lineRule="auto"/>
        <w:ind w:firstLine="640" w:firstLineChars="200"/>
        <w:rPr>
          <w:rFonts w:ascii="仿宋_GB2312" w:eastAsia="仿宋_GB2312"/>
          <w:sz w:val="32"/>
          <w:szCs w:val="32"/>
        </w:rPr>
      </w:pPr>
      <w:r>
        <w:rPr>
          <w:rFonts w:hint="eastAsia" w:ascii="仿宋_GB2312" w:eastAsia="仿宋_GB2312"/>
          <w:sz w:val="32"/>
          <w:szCs w:val="32"/>
        </w:rPr>
        <w:t>6.2.2除不可抗力外，因非监理人原因导致监理人履行合同期限延长</w:t>
      </w:r>
      <w:r>
        <w:rPr>
          <w:rFonts w:hint="eastAsia" w:ascii="仿宋_GB2312" w:hAnsi="宋体" w:eastAsia="仿宋_GB2312"/>
          <w:sz w:val="32"/>
          <w:szCs w:val="32"/>
        </w:rPr>
        <w:t>、内容增加</w:t>
      </w:r>
      <w:r>
        <w:rPr>
          <w:rFonts w:hint="eastAsia" w:ascii="仿宋_GB2312" w:eastAsia="仿宋_GB2312"/>
          <w:sz w:val="32"/>
          <w:szCs w:val="32"/>
        </w:rPr>
        <w:t>时，监理人应当将此情况与可能产生的影响及时通知委托人。增加的监理工作时间、工作内容应视为附加工作。附加工作酬金的确定方法在</w:t>
      </w:r>
      <w:r>
        <w:rPr>
          <w:rFonts w:hint="eastAsia" w:ascii="仿宋_GB2312" w:hAnsi="宋体" w:eastAsia="仿宋_GB2312"/>
          <w:sz w:val="32"/>
          <w:szCs w:val="32"/>
        </w:rPr>
        <w:t>专用条件中约定</w:t>
      </w:r>
      <w:r>
        <w:rPr>
          <w:rFonts w:hint="eastAsia" w:ascii="仿宋_GB2312" w:eastAsia="仿宋_GB2312"/>
          <w:sz w:val="32"/>
          <w:szCs w:val="32"/>
        </w:rPr>
        <w:t>。</w:t>
      </w:r>
    </w:p>
    <w:p w14:paraId="075EA85F">
      <w:pPr>
        <w:adjustRightInd w:val="0"/>
        <w:snapToGrid w:val="0"/>
        <w:spacing w:line="360" w:lineRule="auto"/>
        <w:ind w:firstLine="640" w:firstLineChars="200"/>
        <w:rPr>
          <w:rFonts w:ascii="仿宋_GB2312" w:eastAsia="仿宋_GB2312"/>
          <w:sz w:val="32"/>
          <w:szCs w:val="32"/>
        </w:rPr>
      </w:pPr>
      <w:r>
        <w:rPr>
          <w:rFonts w:hint="eastAsia" w:ascii="仿宋_GB2312" w:eastAsia="仿宋_GB2312"/>
          <w:sz w:val="32"/>
          <w:szCs w:val="32"/>
        </w:rPr>
        <w:t>6.2.3</w:t>
      </w:r>
      <w:r>
        <w:rPr>
          <w:rFonts w:hint="eastAsia" w:ascii="仿宋_GB2312" w:hAnsi="宋体" w:eastAsia="仿宋_GB2312"/>
          <w:sz w:val="32"/>
          <w:szCs w:val="32"/>
        </w:rPr>
        <w:t>合同生效后，如果实际情况发生变化使得监理人不能完成全部或部分工作时，监理人应立即通知委托人。除不可抗力外，其善后工作以及恢复服务的准备工作应为附加工作，</w:t>
      </w:r>
      <w:r>
        <w:rPr>
          <w:rFonts w:hint="eastAsia" w:ascii="仿宋_GB2312" w:eastAsia="仿宋_GB2312"/>
          <w:sz w:val="32"/>
          <w:szCs w:val="32"/>
        </w:rPr>
        <w:t>附加工作酬金的确定方法在</w:t>
      </w:r>
      <w:r>
        <w:rPr>
          <w:rFonts w:hint="eastAsia" w:ascii="仿宋_GB2312" w:hAnsi="宋体" w:eastAsia="仿宋_GB2312"/>
          <w:sz w:val="32"/>
          <w:szCs w:val="32"/>
        </w:rPr>
        <w:t>专用条件中约定。监理人用于恢复服务的准备时间不应超过</w:t>
      </w:r>
      <w:r>
        <w:rPr>
          <w:rFonts w:hint="eastAsia" w:ascii="仿宋_GB2312" w:eastAsia="仿宋_GB2312"/>
          <w:sz w:val="32"/>
          <w:szCs w:val="32"/>
        </w:rPr>
        <w:t>28</w:t>
      </w:r>
      <w:r>
        <w:rPr>
          <w:rFonts w:hint="eastAsia" w:ascii="仿宋_GB2312" w:hAnsi="宋体" w:eastAsia="仿宋_GB2312"/>
          <w:sz w:val="32"/>
          <w:szCs w:val="32"/>
        </w:rPr>
        <w:t>天。</w:t>
      </w:r>
    </w:p>
    <w:p w14:paraId="556DF271">
      <w:pPr>
        <w:snapToGrid w:val="0"/>
        <w:spacing w:line="360" w:lineRule="auto"/>
        <w:ind w:firstLine="640" w:firstLineChars="200"/>
        <w:rPr>
          <w:rFonts w:ascii="仿宋_GB2312" w:hAnsi="宋体" w:eastAsia="仿宋_GB2312"/>
          <w:sz w:val="32"/>
          <w:szCs w:val="32"/>
        </w:rPr>
      </w:pPr>
      <w:r>
        <w:rPr>
          <w:rFonts w:hint="eastAsia" w:ascii="仿宋_GB2312" w:eastAsia="仿宋_GB2312"/>
          <w:sz w:val="32"/>
          <w:szCs w:val="32"/>
        </w:rPr>
        <w:t>6.2.4</w:t>
      </w:r>
      <w:r>
        <w:rPr>
          <w:rFonts w:hint="eastAsia" w:ascii="仿宋_GB2312" w:hAnsi="宋体" w:eastAsia="仿宋_GB2312"/>
          <w:sz w:val="32"/>
          <w:szCs w:val="32"/>
        </w:rPr>
        <w:t>合同签订后，遇有与工程相关的法律法规、标准颁布或修订的，双方应遵照执行。由此引起监理与相关服务的范围、时间、酬金变化的，双方应通过协商进行相应调整。</w:t>
      </w:r>
    </w:p>
    <w:p w14:paraId="75FAC026">
      <w:pPr>
        <w:adjustRightInd w:val="0"/>
        <w:snapToGrid w:val="0"/>
        <w:spacing w:line="360" w:lineRule="auto"/>
        <w:ind w:firstLine="640" w:firstLineChars="200"/>
        <w:rPr>
          <w:rFonts w:ascii="仿宋_GB2312" w:hAnsi="宋体" w:eastAsia="仿宋_GB2312"/>
          <w:sz w:val="32"/>
          <w:szCs w:val="32"/>
        </w:rPr>
      </w:pPr>
      <w:r>
        <w:rPr>
          <w:rFonts w:hint="eastAsia" w:ascii="仿宋_GB2312" w:hAnsi="宋体" w:eastAsia="仿宋_GB2312"/>
          <w:sz w:val="32"/>
          <w:szCs w:val="32"/>
        </w:rPr>
        <w:t>6.2.5 因非监理人原因造成工程概算投资额或建筑安装工程费增加时，正常工作酬金应作相应调整。调整方法在专用条件中约定。</w:t>
      </w:r>
    </w:p>
    <w:p w14:paraId="2FAA6F9C">
      <w:pPr>
        <w:snapToGrid w:val="0"/>
        <w:spacing w:line="360" w:lineRule="auto"/>
        <w:ind w:firstLine="640" w:firstLineChars="200"/>
        <w:rPr>
          <w:rFonts w:ascii="仿宋_GB2312" w:hAnsi="宋体" w:eastAsia="仿宋_GB2312"/>
          <w:sz w:val="32"/>
          <w:szCs w:val="32"/>
        </w:rPr>
      </w:pPr>
      <w:r>
        <w:rPr>
          <w:rFonts w:hint="eastAsia" w:ascii="仿宋_GB2312" w:hAnsi="宋体" w:eastAsia="仿宋_GB2312"/>
          <w:sz w:val="32"/>
          <w:szCs w:val="32"/>
        </w:rPr>
        <w:t>6.2.6 因工程规模、监理范围的变化导致监理人的正常工作量减少时，正常工作酬金应作相应调整。调整方法在专用条件中约定。</w:t>
      </w:r>
    </w:p>
    <w:p w14:paraId="38888C9D">
      <w:pPr>
        <w:snapToGrid w:val="0"/>
        <w:spacing w:line="360" w:lineRule="auto"/>
        <w:rPr>
          <w:rFonts w:ascii="仿宋_GB2312" w:hAnsi="宋体" w:eastAsia="仿宋_GB2312"/>
          <w:bCs/>
          <w:sz w:val="32"/>
          <w:szCs w:val="32"/>
        </w:rPr>
      </w:pPr>
      <w:r>
        <w:rPr>
          <w:rFonts w:hint="eastAsia" w:ascii="仿宋_GB2312" w:hAnsi="宋体" w:eastAsia="仿宋_GB2312"/>
          <w:sz w:val="32"/>
          <w:szCs w:val="32"/>
        </w:rPr>
        <w:t xml:space="preserve">  6.3 暂停与</w:t>
      </w:r>
      <w:r>
        <w:rPr>
          <w:rFonts w:hint="eastAsia" w:ascii="仿宋_GB2312" w:hAnsi="宋体" w:eastAsia="仿宋_GB2312"/>
          <w:bCs/>
          <w:sz w:val="32"/>
          <w:szCs w:val="32"/>
        </w:rPr>
        <w:t>解除</w:t>
      </w:r>
    </w:p>
    <w:p w14:paraId="69872DD0">
      <w:pPr>
        <w:adjustRightInd w:val="0"/>
        <w:snapToGrid w:val="0"/>
        <w:spacing w:line="360" w:lineRule="auto"/>
        <w:ind w:firstLine="640" w:firstLineChars="200"/>
        <w:rPr>
          <w:rFonts w:ascii="仿宋_GB2312" w:hAnsi="宋体" w:eastAsia="仿宋_GB2312"/>
          <w:sz w:val="32"/>
          <w:szCs w:val="32"/>
        </w:rPr>
      </w:pPr>
      <w:r>
        <w:rPr>
          <w:rFonts w:hint="eastAsia" w:ascii="仿宋_GB2312" w:eastAsia="仿宋_GB2312"/>
          <w:sz w:val="32"/>
          <w:szCs w:val="32"/>
        </w:rPr>
        <w:t>除</w:t>
      </w:r>
      <w:r>
        <w:rPr>
          <w:rFonts w:hint="eastAsia" w:ascii="仿宋_GB2312" w:hAnsi="宋体" w:eastAsia="仿宋_GB2312"/>
          <w:sz w:val="32"/>
          <w:szCs w:val="32"/>
        </w:rPr>
        <w:t>双方协商一致可以解除本合同外，当一方无正当理由未履行本合同约定的义务时，另一方可以根据本合同约定暂停履行本合同直至解除本合同。</w:t>
      </w:r>
    </w:p>
    <w:p w14:paraId="01F5690C">
      <w:pPr>
        <w:adjustRightInd w:val="0"/>
        <w:snapToGrid w:val="0"/>
        <w:spacing w:line="360" w:lineRule="auto"/>
        <w:ind w:firstLine="640" w:firstLineChars="200"/>
        <w:rPr>
          <w:rFonts w:ascii="仿宋_GB2312" w:hAnsi="宋体" w:eastAsia="仿宋_GB2312"/>
          <w:sz w:val="32"/>
          <w:szCs w:val="32"/>
        </w:rPr>
      </w:pPr>
      <w:r>
        <w:rPr>
          <w:rFonts w:hint="eastAsia" w:ascii="仿宋_GB2312" w:eastAsia="仿宋_GB2312"/>
          <w:sz w:val="32"/>
          <w:szCs w:val="32"/>
        </w:rPr>
        <w:t xml:space="preserve">6.3.1 </w:t>
      </w:r>
      <w:r>
        <w:rPr>
          <w:rFonts w:hint="eastAsia" w:ascii="仿宋_GB2312" w:hAnsi="宋体" w:eastAsia="仿宋_GB2312"/>
          <w:sz w:val="32"/>
          <w:szCs w:val="32"/>
        </w:rPr>
        <w:t>在本合同有效期内，由于双方无法预见和控制的原因导致本合同全部或部分无法继续履行或继续履行已无意义，经双方协商一致，可以解除本合同或监理人的部分义务。在解除之前，监理人应作出合理安排，使开支减至最小。</w:t>
      </w:r>
    </w:p>
    <w:p w14:paraId="3ECB94BA">
      <w:pPr>
        <w:adjustRightInd w:val="0"/>
        <w:snapToGrid w:val="0"/>
        <w:spacing w:line="360" w:lineRule="auto"/>
        <w:ind w:firstLine="640" w:firstLineChars="200"/>
        <w:rPr>
          <w:rFonts w:ascii="仿宋_GB2312" w:eastAsia="仿宋_GB2312"/>
          <w:sz w:val="32"/>
          <w:szCs w:val="32"/>
        </w:rPr>
      </w:pPr>
      <w:r>
        <w:rPr>
          <w:rFonts w:hint="eastAsia" w:ascii="仿宋_GB2312" w:hAnsi="宋体" w:eastAsia="仿宋_GB2312"/>
          <w:sz w:val="32"/>
          <w:szCs w:val="32"/>
        </w:rPr>
        <w:t>因解除本合同或解除监理人的部分义务导致监理人遭受的损失，除依法可以免除责任的情况外，应由委托人予以补偿，补偿金额由双方协商确定。</w:t>
      </w:r>
    </w:p>
    <w:p w14:paraId="23157339">
      <w:pPr>
        <w:adjustRightInd w:val="0"/>
        <w:snapToGrid w:val="0"/>
        <w:spacing w:line="360" w:lineRule="auto"/>
        <w:ind w:firstLine="640" w:firstLineChars="200"/>
        <w:rPr>
          <w:rFonts w:ascii="仿宋_GB2312" w:hAnsi="宋体" w:eastAsia="仿宋_GB2312"/>
          <w:sz w:val="32"/>
          <w:szCs w:val="32"/>
        </w:rPr>
      </w:pPr>
      <w:r>
        <w:rPr>
          <w:rFonts w:hint="eastAsia" w:ascii="仿宋_GB2312" w:hAnsi="宋体" w:eastAsia="仿宋_GB2312"/>
          <w:sz w:val="32"/>
          <w:szCs w:val="32"/>
        </w:rPr>
        <w:t>解除本合同的协议必须采取书面形式，协议未达成之前，本合同仍然有效。</w:t>
      </w:r>
    </w:p>
    <w:p w14:paraId="08F21F69">
      <w:pPr>
        <w:adjustRightInd w:val="0"/>
        <w:snapToGrid w:val="0"/>
        <w:spacing w:line="360" w:lineRule="auto"/>
        <w:ind w:firstLine="640" w:firstLineChars="200"/>
        <w:rPr>
          <w:rFonts w:ascii="仿宋_GB2312" w:eastAsia="仿宋_GB2312"/>
          <w:sz w:val="32"/>
          <w:szCs w:val="32"/>
        </w:rPr>
      </w:pPr>
      <w:r>
        <w:rPr>
          <w:rFonts w:hint="eastAsia" w:ascii="仿宋_GB2312" w:eastAsia="仿宋_GB2312"/>
          <w:sz w:val="32"/>
          <w:szCs w:val="32"/>
        </w:rPr>
        <w:t xml:space="preserve">6.3.2 </w:t>
      </w:r>
      <w:r>
        <w:rPr>
          <w:rFonts w:hint="eastAsia" w:ascii="仿宋_GB2312" w:hAnsi="宋体" w:eastAsia="仿宋_GB2312"/>
          <w:sz w:val="32"/>
          <w:szCs w:val="32"/>
        </w:rPr>
        <w:t>在本合同有效期内，因非监理人的原因导致工程施工全部或部分暂停，委托人可通知监理人要求暂停全部或部分工作。监理人应立即安排停止工作，并将开支减至最小。</w:t>
      </w:r>
      <w:r>
        <w:rPr>
          <w:rFonts w:hint="eastAsia" w:ascii="仿宋_GB2312" w:eastAsia="仿宋_GB2312"/>
          <w:sz w:val="32"/>
          <w:szCs w:val="32"/>
        </w:rPr>
        <w:t>除不可抗力外，</w:t>
      </w:r>
      <w:r>
        <w:rPr>
          <w:rFonts w:hint="eastAsia" w:ascii="仿宋_GB2312" w:hAnsi="宋体" w:eastAsia="仿宋_GB2312"/>
          <w:sz w:val="32"/>
          <w:szCs w:val="32"/>
        </w:rPr>
        <w:t>由此导致监理人遭受的损失应由委托人予以补偿。</w:t>
      </w:r>
    </w:p>
    <w:p w14:paraId="4BABC07B">
      <w:pPr>
        <w:adjustRightInd w:val="0"/>
        <w:snapToGrid w:val="0"/>
        <w:spacing w:line="360" w:lineRule="auto"/>
        <w:ind w:firstLine="640" w:firstLineChars="200"/>
        <w:rPr>
          <w:rFonts w:ascii="仿宋_GB2312" w:hAnsi="宋体" w:eastAsia="仿宋_GB2312"/>
          <w:sz w:val="32"/>
          <w:szCs w:val="32"/>
        </w:rPr>
      </w:pPr>
      <w:r>
        <w:rPr>
          <w:rFonts w:hint="eastAsia" w:ascii="仿宋_GB2312" w:hAnsi="宋体" w:eastAsia="仿宋_GB2312"/>
          <w:sz w:val="32"/>
          <w:szCs w:val="32"/>
        </w:rPr>
        <w:t>暂停部分监理与相关服务时间超过</w:t>
      </w:r>
      <w:r>
        <w:rPr>
          <w:rFonts w:hint="eastAsia" w:ascii="仿宋_GB2312" w:eastAsia="仿宋_GB2312"/>
          <w:sz w:val="32"/>
          <w:szCs w:val="32"/>
        </w:rPr>
        <w:t>182</w:t>
      </w:r>
      <w:r>
        <w:rPr>
          <w:rFonts w:hint="eastAsia" w:ascii="仿宋_GB2312" w:hAnsi="宋体" w:eastAsia="仿宋_GB2312"/>
          <w:sz w:val="32"/>
          <w:szCs w:val="32"/>
        </w:rPr>
        <w:t>天，监理人可发出解除本合同约定的该部分义务的通知；暂停全部工作时间超过</w:t>
      </w:r>
      <w:r>
        <w:rPr>
          <w:rFonts w:hint="eastAsia" w:ascii="仿宋_GB2312" w:eastAsia="仿宋_GB2312"/>
          <w:sz w:val="32"/>
          <w:szCs w:val="32"/>
        </w:rPr>
        <w:t>182</w:t>
      </w:r>
      <w:r>
        <w:rPr>
          <w:rFonts w:hint="eastAsia" w:ascii="仿宋_GB2312" w:hAnsi="宋体" w:eastAsia="仿宋_GB2312"/>
          <w:sz w:val="32"/>
          <w:szCs w:val="32"/>
        </w:rPr>
        <w:t>天，监理人可发出解除本合同的通知，本合同自通知到达委托人时解除。委托人应将监理与相关服务的酬金支付至本合同解除日，且应承担第4.2款约定的责任。</w:t>
      </w:r>
    </w:p>
    <w:p w14:paraId="17041783">
      <w:pPr>
        <w:adjustRightInd w:val="0"/>
        <w:snapToGrid w:val="0"/>
        <w:spacing w:line="360" w:lineRule="auto"/>
        <w:ind w:firstLine="640" w:firstLineChars="200"/>
        <w:rPr>
          <w:rFonts w:ascii="仿宋_GB2312" w:eastAsia="仿宋_GB2312"/>
          <w:sz w:val="32"/>
          <w:szCs w:val="32"/>
        </w:rPr>
      </w:pPr>
      <w:r>
        <w:rPr>
          <w:rFonts w:hint="eastAsia" w:ascii="仿宋_GB2312" w:eastAsia="仿宋_GB2312"/>
          <w:sz w:val="32"/>
          <w:szCs w:val="32"/>
        </w:rPr>
        <w:t xml:space="preserve">6.3.3 </w:t>
      </w:r>
      <w:r>
        <w:rPr>
          <w:rFonts w:hint="eastAsia" w:ascii="仿宋_GB2312" w:hAnsi="宋体" w:eastAsia="仿宋_GB2312"/>
          <w:sz w:val="32"/>
          <w:szCs w:val="32"/>
        </w:rPr>
        <w:t>当监理人无正当理由未履行本合同约定的义务时，委托人应通知监理人限期改正。若委托人在监理人接到通知后的</w:t>
      </w:r>
      <w:r>
        <w:rPr>
          <w:rFonts w:hint="eastAsia" w:ascii="仿宋_GB2312" w:eastAsia="仿宋_GB2312"/>
          <w:sz w:val="32"/>
          <w:szCs w:val="32"/>
        </w:rPr>
        <w:t>7</w:t>
      </w:r>
      <w:r>
        <w:rPr>
          <w:rFonts w:hint="eastAsia" w:ascii="仿宋_GB2312" w:hAnsi="宋体" w:eastAsia="仿宋_GB2312"/>
          <w:sz w:val="32"/>
          <w:szCs w:val="32"/>
        </w:rPr>
        <w:t>天内未收到监理人书面形式的合理解释，则可在</w:t>
      </w:r>
      <w:r>
        <w:rPr>
          <w:rFonts w:hint="eastAsia" w:ascii="仿宋_GB2312" w:eastAsia="仿宋_GB2312"/>
          <w:sz w:val="32"/>
          <w:szCs w:val="32"/>
        </w:rPr>
        <w:t>7</w:t>
      </w:r>
      <w:r>
        <w:rPr>
          <w:rFonts w:hint="eastAsia" w:ascii="仿宋_GB2312" w:hAnsi="宋体" w:eastAsia="仿宋_GB2312"/>
          <w:sz w:val="32"/>
          <w:szCs w:val="32"/>
        </w:rPr>
        <w:t>天内发出解除本合同的通知，自通知到达监理人时本合同解除。委托人应将监理与相关服务的酬金支付至限期改正通知到达监理人之日，但监理人应承担第4.1款约定的责任。</w:t>
      </w:r>
    </w:p>
    <w:p w14:paraId="1306B47D">
      <w:pPr>
        <w:adjustRightInd w:val="0"/>
        <w:snapToGrid w:val="0"/>
        <w:spacing w:line="360" w:lineRule="auto"/>
        <w:ind w:firstLine="640" w:firstLineChars="200"/>
        <w:rPr>
          <w:rFonts w:ascii="仿宋_GB2312" w:hAnsi="宋体" w:eastAsia="仿宋_GB2312"/>
          <w:sz w:val="32"/>
          <w:szCs w:val="32"/>
        </w:rPr>
      </w:pPr>
      <w:r>
        <w:rPr>
          <w:rFonts w:hint="eastAsia" w:ascii="仿宋_GB2312" w:eastAsia="仿宋_GB2312"/>
          <w:sz w:val="32"/>
          <w:szCs w:val="32"/>
        </w:rPr>
        <w:t xml:space="preserve">6.3.4 </w:t>
      </w:r>
      <w:r>
        <w:rPr>
          <w:rFonts w:hint="eastAsia" w:ascii="仿宋_GB2312" w:hAnsi="宋体" w:eastAsia="仿宋_GB2312"/>
          <w:sz w:val="32"/>
          <w:szCs w:val="32"/>
        </w:rPr>
        <w:t>监理人在专用条件5.3中约定的支付之日起</w:t>
      </w:r>
      <w:r>
        <w:rPr>
          <w:rFonts w:hint="eastAsia" w:ascii="仿宋_GB2312" w:eastAsia="仿宋_GB2312"/>
          <w:sz w:val="32"/>
          <w:szCs w:val="32"/>
        </w:rPr>
        <w:t>28</w:t>
      </w:r>
      <w:r>
        <w:rPr>
          <w:rFonts w:hint="eastAsia" w:ascii="仿宋_GB2312" w:hAnsi="宋体" w:eastAsia="仿宋_GB2312"/>
          <w:sz w:val="32"/>
          <w:szCs w:val="32"/>
        </w:rPr>
        <w:t>天后仍未收到委托人按本合同约定应付的款项，可向委托人发出催付通知。委托人接到通知</w:t>
      </w:r>
      <w:r>
        <w:rPr>
          <w:rFonts w:hint="eastAsia" w:ascii="仿宋_GB2312" w:eastAsia="仿宋_GB2312"/>
          <w:sz w:val="32"/>
          <w:szCs w:val="32"/>
        </w:rPr>
        <w:t>14</w:t>
      </w:r>
      <w:r>
        <w:rPr>
          <w:rFonts w:hint="eastAsia" w:ascii="仿宋_GB2312" w:hAnsi="宋体" w:eastAsia="仿宋_GB2312"/>
          <w:sz w:val="32"/>
          <w:szCs w:val="32"/>
        </w:rPr>
        <w:t>天后仍未支付或未提出监理人可以接受的延期支付安排，监理人可向委托人发出暂停工作的通知并可自行暂停全部或部分工作。暂停工作后</w:t>
      </w:r>
      <w:r>
        <w:rPr>
          <w:rFonts w:hint="eastAsia" w:ascii="仿宋_GB2312" w:eastAsia="仿宋_GB2312"/>
          <w:sz w:val="32"/>
          <w:szCs w:val="32"/>
        </w:rPr>
        <w:t>14</w:t>
      </w:r>
      <w:r>
        <w:rPr>
          <w:rFonts w:hint="eastAsia" w:ascii="仿宋_GB2312" w:hAnsi="宋体" w:eastAsia="仿宋_GB2312"/>
          <w:sz w:val="32"/>
          <w:szCs w:val="32"/>
        </w:rPr>
        <w:t>天内监理人仍未获得委托人应付酬金或委托人的合理答复，监理人可向委托人发出解除本合同的通知，自通知到达委托人时本合同解除。委托人应承担第4.2.3款约定的责任。</w:t>
      </w:r>
    </w:p>
    <w:p w14:paraId="0346E639">
      <w:pPr>
        <w:snapToGrid w:val="0"/>
        <w:spacing w:line="360" w:lineRule="auto"/>
        <w:ind w:firstLine="640" w:firstLineChars="200"/>
        <w:rPr>
          <w:rFonts w:ascii="仿宋_GB2312" w:hAnsi="宋体" w:eastAsia="仿宋_GB2312"/>
          <w:sz w:val="32"/>
          <w:szCs w:val="32"/>
        </w:rPr>
      </w:pPr>
      <w:r>
        <w:rPr>
          <w:rFonts w:hint="eastAsia" w:ascii="仿宋_GB2312" w:hAnsi="宋体" w:eastAsia="仿宋_GB2312"/>
          <w:sz w:val="32"/>
          <w:szCs w:val="32"/>
        </w:rPr>
        <w:t>6.3.5 因不可抗力致使本合同部分或全部不能履行时，一方应立即通知另一方，可暂停或解除本合同。</w:t>
      </w:r>
    </w:p>
    <w:p w14:paraId="51FABEC5">
      <w:pPr>
        <w:snapToGrid w:val="0"/>
        <w:spacing w:line="360" w:lineRule="auto"/>
        <w:ind w:firstLine="640" w:firstLineChars="200"/>
        <w:rPr>
          <w:rFonts w:ascii="仿宋_GB2312" w:hAnsi="宋体" w:eastAsia="仿宋_GB2312"/>
          <w:sz w:val="32"/>
          <w:szCs w:val="32"/>
        </w:rPr>
      </w:pPr>
      <w:r>
        <w:rPr>
          <w:rFonts w:hint="eastAsia" w:ascii="仿宋_GB2312" w:eastAsia="仿宋_GB2312"/>
          <w:sz w:val="32"/>
          <w:szCs w:val="32"/>
        </w:rPr>
        <w:t xml:space="preserve">6.3.6 </w:t>
      </w:r>
      <w:r>
        <w:rPr>
          <w:rFonts w:hint="eastAsia" w:ascii="仿宋_GB2312" w:hAnsi="宋体" w:eastAsia="仿宋_GB2312"/>
          <w:sz w:val="32"/>
          <w:szCs w:val="32"/>
        </w:rPr>
        <w:t>本合同解除后，本合同约定的有关结算、清理、争议解决方式的条件仍然有效。</w:t>
      </w:r>
    </w:p>
    <w:p w14:paraId="1B756FE6">
      <w:pPr>
        <w:snapToGrid w:val="0"/>
        <w:spacing w:line="360" w:lineRule="auto"/>
        <w:ind w:left="240" w:leftChars="100"/>
        <w:rPr>
          <w:rFonts w:ascii="仿宋_GB2312" w:hAnsi="宋体" w:eastAsia="仿宋_GB2312"/>
          <w:bCs/>
          <w:sz w:val="32"/>
          <w:szCs w:val="32"/>
        </w:rPr>
      </w:pPr>
      <w:r>
        <w:rPr>
          <w:rFonts w:hint="eastAsia" w:ascii="仿宋_GB2312" w:eastAsia="仿宋_GB2312"/>
          <w:sz w:val="32"/>
          <w:szCs w:val="32"/>
        </w:rPr>
        <w:t xml:space="preserve">6.4 </w:t>
      </w:r>
      <w:r>
        <w:rPr>
          <w:rFonts w:hint="eastAsia" w:ascii="仿宋_GB2312" w:hAnsi="宋体" w:eastAsia="仿宋_GB2312"/>
          <w:bCs/>
          <w:sz w:val="32"/>
          <w:szCs w:val="32"/>
        </w:rPr>
        <w:t>终止</w:t>
      </w:r>
    </w:p>
    <w:p w14:paraId="03529D5B">
      <w:pPr>
        <w:adjustRightInd w:val="0"/>
        <w:snapToGrid w:val="0"/>
        <w:spacing w:line="360" w:lineRule="auto"/>
        <w:ind w:firstLine="640" w:firstLineChars="200"/>
        <w:rPr>
          <w:rFonts w:ascii="仿宋_GB2312" w:eastAsia="仿宋_GB2312"/>
          <w:sz w:val="32"/>
          <w:szCs w:val="32"/>
        </w:rPr>
      </w:pPr>
      <w:r>
        <w:rPr>
          <w:rFonts w:hint="eastAsia" w:ascii="仿宋_GB2312" w:hAnsi="宋体" w:eastAsia="仿宋_GB2312"/>
          <w:sz w:val="32"/>
          <w:szCs w:val="32"/>
        </w:rPr>
        <w:t>以下条件全部满足时，本合同即告终止：</w:t>
      </w:r>
    </w:p>
    <w:p w14:paraId="136B5486">
      <w:pPr>
        <w:adjustRightInd w:val="0"/>
        <w:snapToGrid w:val="0"/>
        <w:spacing w:line="360" w:lineRule="auto"/>
        <w:ind w:firstLine="640" w:firstLineChars="200"/>
        <w:rPr>
          <w:rFonts w:ascii="仿宋_GB2312" w:eastAsia="仿宋_GB2312"/>
          <w:sz w:val="32"/>
          <w:szCs w:val="32"/>
        </w:rPr>
      </w:pPr>
      <w:r>
        <w:rPr>
          <w:rFonts w:hint="eastAsia" w:ascii="仿宋_GB2312" w:hAnsi="宋体" w:eastAsia="仿宋_GB2312"/>
          <w:sz w:val="32"/>
          <w:szCs w:val="32"/>
        </w:rPr>
        <w:t>（</w:t>
      </w:r>
      <w:r>
        <w:rPr>
          <w:rFonts w:hint="eastAsia" w:ascii="仿宋_GB2312" w:eastAsia="仿宋_GB2312"/>
          <w:sz w:val="32"/>
          <w:szCs w:val="32"/>
        </w:rPr>
        <w:t>1</w:t>
      </w:r>
      <w:r>
        <w:rPr>
          <w:rFonts w:hint="eastAsia" w:ascii="仿宋_GB2312" w:hAnsi="宋体" w:eastAsia="仿宋_GB2312"/>
          <w:sz w:val="32"/>
          <w:szCs w:val="32"/>
        </w:rPr>
        <w:t>）监理人完成本合同约定的全部工作；</w:t>
      </w:r>
    </w:p>
    <w:p w14:paraId="17964F75">
      <w:pPr>
        <w:snapToGrid w:val="0"/>
        <w:spacing w:line="360" w:lineRule="auto"/>
        <w:ind w:firstLine="640" w:firstLineChars="200"/>
        <w:rPr>
          <w:rFonts w:ascii="仿宋_GB2312" w:hAnsi="宋体" w:eastAsia="仿宋_GB2312"/>
          <w:sz w:val="32"/>
          <w:szCs w:val="32"/>
        </w:rPr>
      </w:pPr>
      <w:r>
        <w:rPr>
          <w:rFonts w:hint="eastAsia" w:ascii="仿宋_GB2312" w:hAnsi="宋体" w:eastAsia="仿宋_GB2312"/>
          <w:sz w:val="32"/>
          <w:szCs w:val="32"/>
        </w:rPr>
        <w:t>（</w:t>
      </w:r>
      <w:r>
        <w:rPr>
          <w:rFonts w:hint="eastAsia" w:ascii="仿宋_GB2312" w:eastAsia="仿宋_GB2312"/>
          <w:sz w:val="32"/>
          <w:szCs w:val="32"/>
        </w:rPr>
        <w:t>2</w:t>
      </w:r>
      <w:r>
        <w:rPr>
          <w:rFonts w:hint="eastAsia" w:ascii="仿宋_GB2312" w:hAnsi="宋体" w:eastAsia="仿宋_GB2312"/>
          <w:sz w:val="32"/>
          <w:szCs w:val="32"/>
        </w:rPr>
        <w:t>）委托人与监理人结清并支付全部酬金。</w:t>
      </w:r>
    </w:p>
    <w:p w14:paraId="7C72FD83">
      <w:pPr>
        <w:snapToGrid w:val="0"/>
        <w:spacing w:line="360" w:lineRule="auto"/>
        <w:rPr>
          <w:rFonts w:ascii="仿宋_GB2312" w:hAnsi="宋体" w:eastAsia="仿宋_GB2312"/>
          <w:b/>
          <w:bCs/>
          <w:sz w:val="32"/>
          <w:szCs w:val="32"/>
        </w:rPr>
      </w:pPr>
      <w:r>
        <w:rPr>
          <w:rFonts w:hint="eastAsia" w:ascii="仿宋_GB2312" w:hAnsi="黑体" w:eastAsia="仿宋_GB2312"/>
          <w:b/>
          <w:bCs/>
          <w:sz w:val="32"/>
          <w:szCs w:val="32"/>
        </w:rPr>
        <w:t>7. 争议解决</w:t>
      </w:r>
    </w:p>
    <w:p w14:paraId="62748BC4">
      <w:pPr>
        <w:snapToGrid w:val="0"/>
        <w:spacing w:line="360" w:lineRule="auto"/>
        <w:ind w:left="240" w:leftChars="100"/>
        <w:rPr>
          <w:rFonts w:ascii="仿宋_GB2312" w:hAnsi="宋体" w:eastAsia="仿宋_GB2312"/>
          <w:bCs/>
          <w:sz w:val="32"/>
          <w:szCs w:val="32"/>
        </w:rPr>
      </w:pPr>
      <w:r>
        <w:rPr>
          <w:rFonts w:hint="eastAsia" w:ascii="仿宋_GB2312" w:eastAsia="仿宋_GB2312"/>
          <w:sz w:val="32"/>
          <w:szCs w:val="32"/>
        </w:rPr>
        <w:t>7.1</w:t>
      </w:r>
      <w:r>
        <w:rPr>
          <w:rFonts w:hint="eastAsia" w:ascii="仿宋_GB2312" w:hAnsi="宋体" w:eastAsia="仿宋_GB2312"/>
          <w:bCs/>
          <w:sz w:val="32"/>
          <w:szCs w:val="32"/>
        </w:rPr>
        <w:t>协商</w:t>
      </w:r>
    </w:p>
    <w:p w14:paraId="2C22BDBD">
      <w:pPr>
        <w:snapToGrid w:val="0"/>
        <w:spacing w:line="360" w:lineRule="auto"/>
        <w:ind w:firstLine="640" w:firstLineChars="200"/>
        <w:rPr>
          <w:rFonts w:ascii="仿宋_GB2312" w:hAnsi="宋体" w:eastAsia="仿宋_GB2312"/>
          <w:bCs/>
          <w:sz w:val="32"/>
          <w:szCs w:val="32"/>
        </w:rPr>
      </w:pPr>
      <w:r>
        <w:rPr>
          <w:rFonts w:hint="eastAsia" w:ascii="仿宋_GB2312" w:hAnsi="宋体" w:eastAsia="仿宋_GB2312"/>
          <w:sz w:val="32"/>
          <w:szCs w:val="32"/>
        </w:rPr>
        <w:t>双方应本着诚信原则协商解决彼此间的争议。</w:t>
      </w:r>
    </w:p>
    <w:p w14:paraId="4BD5C5D7">
      <w:pPr>
        <w:snapToGrid w:val="0"/>
        <w:spacing w:line="360" w:lineRule="auto"/>
        <w:ind w:left="240" w:leftChars="100"/>
        <w:rPr>
          <w:rFonts w:ascii="仿宋_GB2312" w:hAnsi="宋体" w:eastAsia="仿宋_GB2312"/>
          <w:bCs/>
          <w:sz w:val="32"/>
          <w:szCs w:val="32"/>
        </w:rPr>
      </w:pPr>
      <w:r>
        <w:rPr>
          <w:rFonts w:hint="eastAsia" w:ascii="仿宋_GB2312" w:eastAsia="仿宋_GB2312"/>
          <w:sz w:val="32"/>
          <w:szCs w:val="32"/>
        </w:rPr>
        <w:t>7.2</w:t>
      </w:r>
      <w:r>
        <w:rPr>
          <w:rFonts w:hint="eastAsia" w:ascii="仿宋_GB2312" w:hAnsi="宋体" w:eastAsia="仿宋_GB2312"/>
          <w:bCs/>
          <w:sz w:val="32"/>
          <w:szCs w:val="32"/>
        </w:rPr>
        <w:t>调解</w:t>
      </w:r>
    </w:p>
    <w:p w14:paraId="63139C33">
      <w:pPr>
        <w:snapToGrid w:val="0"/>
        <w:spacing w:line="360" w:lineRule="auto"/>
        <w:ind w:firstLine="640" w:firstLineChars="200"/>
        <w:rPr>
          <w:rFonts w:ascii="仿宋_GB2312" w:hAnsi="宋体" w:eastAsia="仿宋_GB2312"/>
          <w:bCs/>
          <w:sz w:val="32"/>
          <w:szCs w:val="32"/>
        </w:rPr>
      </w:pPr>
      <w:r>
        <w:rPr>
          <w:rFonts w:hint="eastAsia" w:ascii="仿宋_GB2312" w:hAnsi="宋体" w:eastAsia="仿宋_GB2312"/>
          <w:sz w:val="32"/>
          <w:szCs w:val="32"/>
        </w:rPr>
        <w:t>如果双方不能在</w:t>
      </w:r>
      <w:r>
        <w:rPr>
          <w:rFonts w:hint="eastAsia" w:ascii="仿宋_GB2312" w:eastAsia="仿宋_GB2312"/>
          <w:sz w:val="32"/>
          <w:szCs w:val="32"/>
        </w:rPr>
        <w:t>14</w:t>
      </w:r>
      <w:r>
        <w:rPr>
          <w:rFonts w:hint="eastAsia" w:ascii="仿宋_GB2312" w:hAnsi="宋体" w:eastAsia="仿宋_GB2312"/>
          <w:sz w:val="32"/>
          <w:szCs w:val="32"/>
        </w:rPr>
        <w:t>天内或双方商定的其他时间内解决本合同争议，可以将其提交给专用条件约定的或事后达成协议的调解人进行调解。</w:t>
      </w:r>
    </w:p>
    <w:p w14:paraId="025C3B3B">
      <w:pPr>
        <w:snapToGrid w:val="0"/>
        <w:spacing w:line="360" w:lineRule="auto"/>
        <w:ind w:left="240" w:leftChars="100"/>
        <w:rPr>
          <w:rFonts w:ascii="仿宋_GB2312" w:hAnsi="宋体" w:eastAsia="仿宋_GB2312"/>
          <w:bCs/>
          <w:sz w:val="32"/>
          <w:szCs w:val="32"/>
        </w:rPr>
      </w:pPr>
      <w:r>
        <w:rPr>
          <w:rFonts w:hint="eastAsia" w:ascii="仿宋_GB2312" w:eastAsia="仿宋_GB2312"/>
          <w:sz w:val="32"/>
          <w:szCs w:val="32"/>
        </w:rPr>
        <w:t>7.3</w:t>
      </w:r>
      <w:r>
        <w:rPr>
          <w:rFonts w:hint="eastAsia" w:ascii="仿宋_GB2312" w:hAnsi="宋体" w:eastAsia="仿宋_GB2312"/>
          <w:bCs/>
          <w:sz w:val="32"/>
          <w:szCs w:val="32"/>
        </w:rPr>
        <w:t>仲裁或诉讼</w:t>
      </w:r>
    </w:p>
    <w:p w14:paraId="2758ECB9">
      <w:pPr>
        <w:snapToGrid w:val="0"/>
        <w:spacing w:line="360" w:lineRule="auto"/>
        <w:ind w:firstLine="640" w:firstLineChars="200"/>
        <w:rPr>
          <w:rFonts w:ascii="仿宋_GB2312" w:hAnsi="宋体" w:eastAsia="仿宋_GB2312"/>
          <w:sz w:val="32"/>
          <w:szCs w:val="32"/>
        </w:rPr>
      </w:pPr>
      <w:r>
        <w:rPr>
          <w:rFonts w:hint="eastAsia" w:ascii="仿宋_GB2312" w:hAnsi="宋体" w:eastAsia="仿宋_GB2312"/>
          <w:sz w:val="32"/>
          <w:szCs w:val="32"/>
        </w:rPr>
        <w:t>双方均有权不经调解直接向专用条件约定的仲裁机构申请仲裁或向有管辖权的人民法院提起诉讼。</w:t>
      </w:r>
    </w:p>
    <w:p w14:paraId="197E4815">
      <w:pPr>
        <w:snapToGrid w:val="0"/>
        <w:spacing w:line="360" w:lineRule="auto"/>
        <w:rPr>
          <w:rFonts w:ascii="仿宋_GB2312" w:hAnsi="宋体" w:eastAsia="仿宋_GB2312"/>
          <w:b/>
          <w:bCs/>
          <w:sz w:val="32"/>
          <w:szCs w:val="32"/>
        </w:rPr>
      </w:pPr>
      <w:r>
        <w:rPr>
          <w:rFonts w:hint="eastAsia" w:ascii="仿宋_GB2312" w:hAnsi="黑体" w:eastAsia="仿宋_GB2312"/>
          <w:b/>
          <w:bCs/>
          <w:sz w:val="32"/>
          <w:szCs w:val="32"/>
        </w:rPr>
        <w:t>8. 其他</w:t>
      </w:r>
    </w:p>
    <w:p w14:paraId="1CA01410">
      <w:pPr>
        <w:spacing w:line="360" w:lineRule="auto"/>
        <w:ind w:left="240" w:leftChars="100"/>
        <w:rPr>
          <w:rFonts w:ascii="仿宋_GB2312" w:hAnsi="宋体" w:eastAsia="仿宋_GB2312"/>
          <w:bCs/>
          <w:sz w:val="32"/>
          <w:szCs w:val="32"/>
        </w:rPr>
      </w:pPr>
      <w:r>
        <w:rPr>
          <w:rFonts w:hint="eastAsia" w:ascii="仿宋_GB2312" w:eastAsia="仿宋_GB2312"/>
          <w:sz w:val="32"/>
          <w:szCs w:val="32"/>
        </w:rPr>
        <w:t xml:space="preserve">8.1 </w:t>
      </w:r>
      <w:r>
        <w:rPr>
          <w:rFonts w:hint="eastAsia" w:ascii="仿宋_GB2312" w:hAnsi="宋体" w:eastAsia="仿宋_GB2312"/>
          <w:bCs/>
          <w:sz w:val="32"/>
          <w:szCs w:val="32"/>
        </w:rPr>
        <w:t>外出考察费用</w:t>
      </w:r>
    </w:p>
    <w:p w14:paraId="442E79C3">
      <w:pPr>
        <w:snapToGrid w:val="0"/>
        <w:spacing w:line="360" w:lineRule="auto"/>
        <w:ind w:firstLine="640" w:firstLineChars="200"/>
        <w:rPr>
          <w:rFonts w:ascii="仿宋_GB2312" w:hAnsi="宋体" w:eastAsia="仿宋_GB2312"/>
          <w:bCs/>
          <w:sz w:val="32"/>
          <w:szCs w:val="32"/>
        </w:rPr>
      </w:pPr>
      <w:r>
        <w:rPr>
          <w:rFonts w:hint="eastAsia" w:ascii="仿宋_GB2312" w:hAnsi="宋体" w:eastAsia="仿宋_GB2312"/>
          <w:sz w:val="32"/>
          <w:szCs w:val="32"/>
        </w:rPr>
        <w:t>经委托人同意，监理人员外出考察发生的费用由委托人审核后支付。</w:t>
      </w:r>
    </w:p>
    <w:p w14:paraId="46020069">
      <w:pPr>
        <w:snapToGrid w:val="0"/>
        <w:spacing w:line="360" w:lineRule="auto"/>
        <w:ind w:left="240" w:leftChars="100"/>
        <w:rPr>
          <w:rFonts w:ascii="仿宋_GB2312" w:hAnsi="宋体" w:eastAsia="仿宋_GB2312"/>
          <w:bCs/>
          <w:sz w:val="32"/>
          <w:szCs w:val="32"/>
        </w:rPr>
      </w:pPr>
      <w:r>
        <w:rPr>
          <w:rFonts w:hint="eastAsia" w:ascii="仿宋_GB2312" w:eastAsia="仿宋_GB2312"/>
          <w:sz w:val="32"/>
          <w:szCs w:val="32"/>
        </w:rPr>
        <w:t xml:space="preserve">8.2 </w:t>
      </w:r>
      <w:r>
        <w:rPr>
          <w:rFonts w:hint="eastAsia" w:ascii="仿宋_GB2312" w:hAnsi="宋体" w:eastAsia="仿宋_GB2312"/>
          <w:bCs/>
          <w:sz w:val="32"/>
          <w:szCs w:val="32"/>
        </w:rPr>
        <w:t>检测费用</w:t>
      </w:r>
    </w:p>
    <w:p w14:paraId="55D69C6D">
      <w:pPr>
        <w:snapToGrid w:val="0"/>
        <w:spacing w:line="360" w:lineRule="auto"/>
        <w:ind w:firstLine="640" w:firstLineChars="200"/>
        <w:rPr>
          <w:rFonts w:ascii="仿宋_GB2312" w:hAnsi="宋体" w:eastAsia="仿宋_GB2312"/>
          <w:bCs/>
          <w:sz w:val="32"/>
          <w:szCs w:val="32"/>
        </w:rPr>
      </w:pPr>
      <w:r>
        <w:rPr>
          <w:rFonts w:hint="eastAsia" w:ascii="仿宋_GB2312" w:hAnsi="宋体" w:eastAsia="仿宋_GB2312"/>
          <w:sz w:val="32"/>
          <w:szCs w:val="32"/>
        </w:rPr>
        <w:t>委托人要求监理人进行的材料和设备检测所发生的费用，由委托人支付，支付时间在专用条件中约定。</w:t>
      </w:r>
    </w:p>
    <w:p w14:paraId="253BEB19">
      <w:pPr>
        <w:snapToGrid w:val="0"/>
        <w:spacing w:line="360" w:lineRule="auto"/>
        <w:ind w:left="240" w:leftChars="100"/>
        <w:rPr>
          <w:rFonts w:ascii="仿宋_GB2312" w:hAnsi="宋体" w:eastAsia="仿宋_GB2312"/>
          <w:bCs/>
          <w:sz w:val="32"/>
          <w:szCs w:val="32"/>
        </w:rPr>
      </w:pPr>
      <w:r>
        <w:rPr>
          <w:rFonts w:hint="eastAsia" w:ascii="仿宋_GB2312" w:eastAsia="仿宋_GB2312"/>
          <w:sz w:val="32"/>
          <w:szCs w:val="32"/>
        </w:rPr>
        <w:t xml:space="preserve">8.3 </w:t>
      </w:r>
      <w:r>
        <w:rPr>
          <w:rFonts w:hint="eastAsia" w:ascii="仿宋_GB2312" w:hAnsi="宋体" w:eastAsia="仿宋_GB2312"/>
          <w:bCs/>
          <w:sz w:val="32"/>
          <w:szCs w:val="32"/>
        </w:rPr>
        <w:t>咨询费用</w:t>
      </w:r>
    </w:p>
    <w:p w14:paraId="06B6EE56">
      <w:pPr>
        <w:snapToGrid w:val="0"/>
        <w:spacing w:line="360" w:lineRule="auto"/>
        <w:ind w:firstLine="640" w:firstLineChars="200"/>
        <w:rPr>
          <w:rFonts w:ascii="仿宋_GB2312" w:hAnsi="宋体" w:eastAsia="仿宋_GB2312"/>
          <w:sz w:val="32"/>
          <w:szCs w:val="32"/>
        </w:rPr>
      </w:pPr>
      <w:r>
        <w:rPr>
          <w:rFonts w:hint="eastAsia" w:ascii="仿宋_GB2312" w:hAnsi="宋体" w:eastAsia="仿宋_GB2312"/>
          <w:sz w:val="32"/>
          <w:szCs w:val="32"/>
        </w:rPr>
        <w:t>经委托人同意，根据工程需要由监理人组织的相关咨询论证会以及聘请相关专家等发生的费用由委托人支付，支付时间在专用条件中约定。</w:t>
      </w:r>
    </w:p>
    <w:p w14:paraId="32E1FAF6">
      <w:pPr>
        <w:snapToGrid w:val="0"/>
        <w:spacing w:line="360" w:lineRule="auto"/>
        <w:ind w:left="240" w:leftChars="100"/>
        <w:rPr>
          <w:rFonts w:ascii="仿宋_GB2312" w:hAnsi="宋体" w:eastAsia="仿宋_GB2312"/>
          <w:bCs/>
          <w:sz w:val="32"/>
          <w:szCs w:val="32"/>
        </w:rPr>
      </w:pPr>
      <w:r>
        <w:rPr>
          <w:rFonts w:hint="eastAsia" w:ascii="仿宋_GB2312" w:eastAsia="仿宋_GB2312"/>
          <w:sz w:val="32"/>
          <w:szCs w:val="32"/>
        </w:rPr>
        <w:t xml:space="preserve">8.4 </w:t>
      </w:r>
      <w:r>
        <w:rPr>
          <w:rFonts w:hint="eastAsia" w:ascii="仿宋_GB2312" w:hAnsi="宋体" w:eastAsia="仿宋_GB2312"/>
          <w:bCs/>
          <w:sz w:val="32"/>
          <w:szCs w:val="32"/>
        </w:rPr>
        <w:t>奖励</w:t>
      </w:r>
    </w:p>
    <w:p w14:paraId="22657F2B">
      <w:pPr>
        <w:snapToGrid w:val="0"/>
        <w:spacing w:line="360" w:lineRule="auto"/>
        <w:ind w:firstLine="640" w:firstLineChars="200"/>
        <w:rPr>
          <w:rFonts w:ascii="仿宋_GB2312" w:hAnsi="宋体" w:eastAsia="仿宋_GB2312"/>
          <w:sz w:val="32"/>
          <w:szCs w:val="32"/>
        </w:rPr>
      </w:pPr>
      <w:r>
        <w:rPr>
          <w:rFonts w:hint="eastAsia" w:ascii="仿宋_GB2312" w:hAnsi="宋体" w:eastAsia="仿宋_GB2312"/>
          <w:sz w:val="32"/>
          <w:szCs w:val="32"/>
        </w:rPr>
        <w:t>监理人在服务过程中提出的合理化建议，使委托人获得经济效益的，双方在专用条件中约定奖励金额的确定方法。奖励金额在合理化建议被采纳后，与最近一期的正常工作酬金同期支付。</w:t>
      </w:r>
    </w:p>
    <w:p w14:paraId="2ACC5942">
      <w:pPr>
        <w:snapToGrid w:val="0"/>
        <w:spacing w:line="360" w:lineRule="auto"/>
        <w:ind w:left="240" w:leftChars="100"/>
        <w:rPr>
          <w:rFonts w:ascii="仿宋_GB2312" w:hAnsi="宋体" w:eastAsia="仿宋_GB2312"/>
          <w:bCs/>
          <w:sz w:val="32"/>
          <w:szCs w:val="32"/>
        </w:rPr>
      </w:pPr>
      <w:r>
        <w:rPr>
          <w:rFonts w:hint="eastAsia" w:ascii="仿宋_GB2312" w:eastAsia="仿宋_GB2312"/>
          <w:sz w:val="32"/>
          <w:szCs w:val="32"/>
        </w:rPr>
        <w:t xml:space="preserve">8.5 </w:t>
      </w:r>
      <w:r>
        <w:rPr>
          <w:rFonts w:hint="eastAsia" w:ascii="仿宋_GB2312" w:hAnsi="宋体" w:eastAsia="仿宋_GB2312"/>
          <w:bCs/>
          <w:sz w:val="32"/>
          <w:szCs w:val="32"/>
        </w:rPr>
        <w:t>守法诚信</w:t>
      </w:r>
    </w:p>
    <w:p w14:paraId="7C88FB23">
      <w:pPr>
        <w:snapToGrid w:val="0"/>
        <w:spacing w:line="360" w:lineRule="auto"/>
        <w:ind w:firstLine="640" w:firstLineChars="200"/>
        <w:rPr>
          <w:rFonts w:ascii="仿宋_GB2312" w:hAnsi="宋体" w:eastAsia="仿宋_GB2312"/>
          <w:bCs/>
          <w:sz w:val="32"/>
          <w:szCs w:val="32"/>
        </w:rPr>
      </w:pPr>
      <w:r>
        <w:rPr>
          <w:rFonts w:hint="eastAsia" w:ascii="仿宋_GB2312" w:hAnsi="宋体" w:eastAsia="仿宋_GB2312"/>
          <w:sz w:val="32"/>
          <w:szCs w:val="32"/>
        </w:rPr>
        <w:t>监理人及其工作人员不得从与实施工程有关的第三方处获得任何经济利益。</w:t>
      </w:r>
    </w:p>
    <w:p w14:paraId="2E175677">
      <w:pPr>
        <w:snapToGrid w:val="0"/>
        <w:spacing w:line="360" w:lineRule="auto"/>
        <w:ind w:left="240" w:leftChars="100"/>
        <w:rPr>
          <w:rFonts w:ascii="仿宋_GB2312" w:hAnsi="宋体" w:eastAsia="仿宋_GB2312"/>
          <w:bCs/>
          <w:sz w:val="32"/>
          <w:szCs w:val="32"/>
        </w:rPr>
      </w:pPr>
      <w:r>
        <w:rPr>
          <w:rFonts w:hint="eastAsia" w:ascii="仿宋_GB2312" w:eastAsia="仿宋_GB2312"/>
          <w:sz w:val="32"/>
          <w:szCs w:val="32"/>
        </w:rPr>
        <w:t xml:space="preserve">8.6 </w:t>
      </w:r>
      <w:r>
        <w:rPr>
          <w:rFonts w:hint="eastAsia" w:ascii="仿宋_GB2312" w:hAnsi="宋体" w:eastAsia="仿宋_GB2312"/>
          <w:bCs/>
          <w:sz w:val="32"/>
          <w:szCs w:val="32"/>
        </w:rPr>
        <w:t>保密</w:t>
      </w:r>
    </w:p>
    <w:p w14:paraId="505CEAAC">
      <w:pPr>
        <w:snapToGrid w:val="0"/>
        <w:spacing w:line="360" w:lineRule="auto"/>
        <w:ind w:firstLine="640" w:firstLineChars="200"/>
        <w:rPr>
          <w:rFonts w:ascii="仿宋_GB2312" w:hAnsi="宋体" w:eastAsia="仿宋_GB2312"/>
          <w:bCs/>
          <w:sz w:val="32"/>
          <w:szCs w:val="32"/>
        </w:rPr>
      </w:pPr>
      <w:r>
        <w:rPr>
          <w:rFonts w:hint="eastAsia" w:ascii="仿宋_GB2312" w:hAnsi="宋体" w:eastAsia="仿宋_GB2312"/>
          <w:sz w:val="32"/>
          <w:szCs w:val="32"/>
        </w:rPr>
        <w:t>双方不得泄露对方申明的保密资料，亦不得泄露与实施工程有关的第三方所提供的保密资料，保密事项在专用条件中约定。</w:t>
      </w:r>
    </w:p>
    <w:p w14:paraId="17A3A15A">
      <w:pPr>
        <w:snapToGrid w:val="0"/>
        <w:spacing w:line="360" w:lineRule="auto"/>
        <w:ind w:left="240" w:leftChars="100"/>
        <w:rPr>
          <w:rFonts w:ascii="仿宋_GB2312" w:hAnsi="宋体" w:eastAsia="仿宋_GB2312"/>
          <w:bCs/>
          <w:sz w:val="32"/>
          <w:szCs w:val="32"/>
        </w:rPr>
      </w:pPr>
      <w:r>
        <w:rPr>
          <w:rFonts w:hint="eastAsia" w:ascii="仿宋_GB2312" w:eastAsia="仿宋_GB2312"/>
          <w:sz w:val="32"/>
          <w:szCs w:val="32"/>
        </w:rPr>
        <w:t xml:space="preserve">8.7 </w:t>
      </w:r>
      <w:r>
        <w:rPr>
          <w:rFonts w:hint="eastAsia" w:ascii="仿宋_GB2312" w:hAnsi="宋体" w:eastAsia="仿宋_GB2312"/>
          <w:bCs/>
          <w:sz w:val="32"/>
          <w:szCs w:val="32"/>
        </w:rPr>
        <w:t>通知</w:t>
      </w:r>
    </w:p>
    <w:p w14:paraId="7B71BD81">
      <w:pPr>
        <w:snapToGrid w:val="0"/>
        <w:spacing w:line="360" w:lineRule="auto"/>
        <w:ind w:firstLine="640" w:firstLineChars="200"/>
        <w:rPr>
          <w:rFonts w:ascii="仿宋_GB2312" w:hAnsi="宋体" w:eastAsia="仿宋_GB2312"/>
          <w:bCs/>
          <w:sz w:val="32"/>
          <w:szCs w:val="32"/>
        </w:rPr>
      </w:pPr>
      <w:r>
        <w:rPr>
          <w:rFonts w:hint="eastAsia" w:ascii="仿宋_GB2312" w:hAnsi="宋体" w:eastAsia="仿宋_GB2312"/>
          <w:sz w:val="32"/>
          <w:szCs w:val="32"/>
        </w:rPr>
        <w:t>本合同涉及的通知均应当采用书面形式，并在送达对方时生效，收件人应书面签收。</w:t>
      </w:r>
    </w:p>
    <w:p w14:paraId="557FE676">
      <w:pPr>
        <w:snapToGrid w:val="0"/>
        <w:spacing w:line="360" w:lineRule="auto"/>
        <w:ind w:left="240" w:leftChars="100"/>
        <w:rPr>
          <w:rFonts w:ascii="仿宋_GB2312" w:hAnsi="宋体" w:eastAsia="仿宋_GB2312"/>
          <w:bCs/>
          <w:sz w:val="32"/>
          <w:szCs w:val="32"/>
        </w:rPr>
      </w:pPr>
      <w:r>
        <w:rPr>
          <w:rFonts w:hint="eastAsia" w:ascii="仿宋_GB2312" w:eastAsia="仿宋_GB2312"/>
          <w:sz w:val="32"/>
          <w:szCs w:val="32"/>
        </w:rPr>
        <w:t xml:space="preserve">8.8 </w:t>
      </w:r>
      <w:r>
        <w:rPr>
          <w:rFonts w:hint="eastAsia" w:ascii="仿宋_GB2312" w:hAnsi="宋体" w:eastAsia="仿宋_GB2312"/>
          <w:bCs/>
          <w:sz w:val="32"/>
          <w:szCs w:val="32"/>
        </w:rPr>
        <w:t>著作权</w:t>
      </w:r>
    </w:p>
    <w:p w14:paraId="26B92C96">
      <w:pPr>
        <w:adjustRightInd w:val="0"/>
        <w:snapToGrid w:val="0"/>
        <w:spacing w:line="360" w:lineRule="auto"/>
        <w:ind w:firstLine="640" w:firstLineChars="200"/>
        <w:rPr>
          <w:rFonts w:ascii="仿宋_GB2312" w:eastAsia="仿宋_GB2312"/>
          <w:sz w:val="32"/>
          <w:szCs w:val="32"/>
        </w:rPr>
      </w:pPr>
      <w:r>
        <w:rPr>
          <w:rFonts w:hint="eastAsia" w:ascii="仿宋_GB2312" w:hAnsi="宋体" w:eastAsia="仿宋_GB2312"/>
          <w:sz w:val="32"/>
          <w:szCs w:val="32"/>
        </w:rPr>
        <w:t>监理人对其编制的文件拥有著作权。</w:t>
      </w:r>
    </w:p>
    <w:p w14:paraId="28F049AA">
      <w:pPr>
        <w:snapToGrid w:val="0"/>
        <w:spacing w:line="360" w:lineRule="auto"/>
        <w:ind w:firstLine="640" w:firstLineChars="200"/>
        <w:rPr>
          <w:rFonts w:ascii="仿宋_GB2312" w:hAnsi="宋体" w:eastAsia="仿宋_GB2312"/>
          <w:sz w:val="32"/>
          <w:szCs w:val="32"/>
        </w:rPr>
      </w:pPr>
      <w:r>
        <w:rPr>
          <w:rFonts w:hint="eastAsia" w:ascii="仿宋_GB2312" w:hAnsi="宋体" w:eastAsia="仿宋_GB2312"/>
          <w:sz w:val="32"/>
          <w:szCs w:val="32"/>
        </w:rPr>
        <w:t>监理人可单独或与他人联合出版有关监理与相关服务的资料。除专用条件另有约定外，如果监理人在本合同履行期间及本合同终止后两年内出版涉及本工程的有关监理与相关服务的资料，应当征得委托人的同意。</w:t>
      </w:r>
    </w:p>
    <w:p w14:paraId="2546CA10">
      <w:pPr>
        <w:pageBreakBefore/>
        <w:spacing w:line="360" w:lineRule="auto"/>
        <w:jc w:val="center"/>
        <w:rPr>
          <w:rFonts w:ascii="仿宋_GB2312" w:hAnsi="宋体" w:eastAsia="仿宋_GB2312"/>
          <w:b/>
          <w:sz w:val="32"/>
          <w:szCs w:val="32"/>
        </w:rPr>
      </w:pPr>
      <w:r>
        <w:rPr>
          <w:rFonts w:hint="eastAsia" w:ascii="仿宋_GB2312" w:hAnsi="宋体" w:eastAsia="仿宋_GB2312"/>
          <w:b/>
          <w:sz w:val="32"/>
          <w:szCs w:val="32"/>
        </w:rPr>
        <w:t>第三部分  专用条件</w:t>
      </w:r>
    </w:p>
    <w:p w14:paraId="27C29058">
      <w:pPr>
        <w:spacing w:line="360" w:lineRule="auto"/>
        <w:jc w:val="center"/>
        <w:rPr>
          <w:rFonts w:ascii="仿宋_GB2312" w:hAnsi="宋体" w:eastAsia="仿宋_GB2312"/>
          <w:b/>
        </w:rPr>
      </w:pPr>
    </w:p>
    <w:p w14:paraId="6E285336">
      <w:pPr>
        <w:adjustRightInd w:val="0"/>
        <w:snapToGrid w:val="0"/>
        <w:spacing w:line="360" w:lineRule="auto"/>
        <w:rPr>
          <w:rFonts w:ascii="仿宋_GB2312" w:hAnsi="黑体" w:eastAsia="仿宋_GB2312"/>
          <w:b/>
          <w:sz w:val="32"/>
          <w:szCs w:val="32"/>
        </w:rPr>
      </w:pPr>
      <w:r>
        <w:rPr>
          <w:rFonts w:hint="eastAsia" w:ascii="仿宋_GB2312" w:hAnsi="黑体" w:eastAsia="仿宋_GB2312"/>
          <w:b/>
          <w:sz w:val="32"/>
          <w:szCs w:val="32"/>
        </w:rPr>
        <w:t>1. 定义与解释</w:t>
      </w:r>
    </w:p>
    <w:p w14:paraId="1C0D3741">
      <w:pPr>
        <w:adjustRightInd w:val="0"/>
        <w:snapToGrid w:val="0"/>
        <w:spacing w:line="360" w:lineRule="auto"/>
        <w:rPr>
          <w:rFonts w:ascii="仿宋_GB2312" w:hAnsi="宋体" w:eastAsia="仿宋_GB2312"/>
          <w:sz w:val="32"/>
          <w:szCs w:val="32"/>
        </w:rPr>
      </w:pPr>
      <w:r>
        <w:rPr>
          <w:rFonts w:hint="eastAsia" w:ascii="仿宋_GB2312" w:hAnsi="宋体" w:eastAsia="仿宋_GB2312"/>
        </w:rPr>
        <w:t xml:space="preserve">  </w:t>
      </w:r>
      <w:r>
        <w:rPr>
          <w:rFonts w:hint="eastAsia" w:ascii="仿宋_GB2312" w:eastAsia="仿宋_GB2312"/>
          <w:sz w:val="32"/>
          <w:szCs w:val="32"/>
        </w:rPr>
        <w:t>1.2</w:t>
      </w:r>
      <w:r>
        <w:rPr>
          <w:rFonts w:hint="eastAsia" w:ascii="仿宋_GB2312" w:hAnsi="宋体" w:eastAsia="仿宋_GB2312"/>
          <w:sz w:val="32"/>
          <w:szCs w:val="32"/>
        </w:rPr>
        <w:t xml:space="preserve">  解释</w:t>
      </w:r>
    </w:p>
    <w:p w14:paraId="420D7D2C">
      <w:pPr>
        <w:adjustRightInd w:val="0"/>
        <w:snapToGrid w:val="0"/>
        <w:spacing w:line="360" w:lineRule="auto"/>
        <w:ind w:firstLine="640" w:firstLineChars="200"/>
        <w:rPr>
          <w:rFonts w:ascii="仿宋_GB2312" w:hAnsi="宋体" w:eastAsia="仿宋_GB2312"/>
          <w:sz w:val="32"/>
          <w:szCs w:val="32"/>
        </w:rPr>
      </w:pPr>
      <w:r>
        <w:rPr>
          <w:rFonts w:hint="eastAsia" w:ascii="仿宋_GB2312" w:eastAsia="仿宋_GB2312"/>
          <w:sz w:val="32"/>
          <w:szCs w:val="32"/>
        </w:rPr>
        <w:t>1.2.1 本合同文件使用中文</w:t>
      </w:r>
      <w:r>
        <w:rPr>
          <w:rFonts w:hint="eastAsia" w:ascii="仿宋_GB2312" w:hAnsi="宋体" w:eastAsia="仿宋_GB2312"/>
          <w:sz w:val="32"/>
          <w:szCs w:val="32"/>
        </w:rPr>
        <w:t>。</w:t>
      </w:r>
    </w:p>
    <w:p w14:paraId="1A87E28B">
      <w:pPr>
        <w:adjustRightInd w:val="0"/>
        <w:snapToGrid w:val="0"/>
        <w:spacing w:line="360" w:lineRule="auto"/>
        <w:ind w:firstLine="640" w:firstLineChars="200"/>
        <w:rPr>
          <w:rFonts w:ascii="仿宋_GB2312" w:hAnsi="宋体" w:eastAsia="仿宋_GB2312"/>
          <w:sz w:val="32"/>
          <w:szCs w:val="32"/>
        </w:rPr>
      </w:pPr>
      <w:r>
        <w:rPr>
          <w:rFonts w:hint="eastAsia" w:ascii="仿宋_GB2312" w:eastAsia="仿宋_GB2312"/>
          <w:sz w:val="32"/>
          <w:szCs w:val="32"/>
        </w:rPr>
        <w:t xml:space="preserve">1.2.2 </w:t>
      </w:r>
      <w:r>
        <w:rPr>
          <w:rFonts w:hint="eastAsia" w:ascii="仿宋_GB2312" w:hAnsi="宋体" w:eastAsia="仿宋_GB2312"/>
          <w:sz w:val="32"/>
          <w:szCs w:val="32"/>
        </w:rPr>
        <w:t>约定本合同文件的解释顺序为：</w:t>
      </w:r>
      <w:r>
        <w:rPr>
          <w:rFonts w:hint="eastAsia" w:ascii="仿宋_GB2312" w:eastAsia="仿宋_GB2312"/>
          <w:sz w:val="32"/>
          <w:szCs w:val="32"/>
          <w:u w:val="single"/>
        </w:rPr>
        <w:t xml:space="preserve"> 按合同通用条款执行</w:t>
      </w:r>
      <w:r>
        <w:rPr>
          <w:rFonts w:hint="eastAsia" w:ascii="仿宋_GB2312" w:hAnsi="宋体" w:eastAsia="仿宋_GB2312"/>
          <w:sz w:val="32"/>
          <w:szCs w:val="32"/>
        </w:rPr>
        <w:t>。</w:t>
      </w:r>
    </w:p>
    <w:p w14:paraId="6A0AB500">
      <w:pPr>
        <w:adjustRightInd w:val="0"/>
        <w:snapToGrid w:val="0"/>
        <w:spacing w:line="360" w:lineRule="auto"/>
        <w:rPr>
          <w:rFonts w:ascii="仿宋_GB2312" w:hAnsi="黑体" w:eastAsia="仿宋_GB2312"/>
          <w:b/>
          <w:sz w:val="32"/>
          <w:szCs w:val="32"/>
        </w:rPr>
      </w:pPr>
      <w:r>
        <w:rPr>
          <w:rFonts w:hint="eastAsia" w:ascii="仿宋_GB2312" w:hAnsi="黑体" w:eastAsia="仿宋_GB2312"/>
          <w:b/>
          <w:sz w:val="32"/>
          <w:szCs w:val="32"/>
        </w:rPr>
        <w:t>2. 监理人义务</w:t>
      </w:r>
    </w:p>
    <w:p w14:paraId="37CEBE48">
      <w:pPr>
        <w:adjustRightInd w:val="0"/>
        <w:snapToGrid w:val="0"/>
        <w:spacing w:line="360" w:lineRule="auto"/>
        <w:ind w:firstLine="313" w:firstLineChars="98"/>
        <w:rPr>
          <w:rFonts w:ascii="仿宋_GB2312" w:eastAsia="仿宋_GB2312"/>
          <w:sz w:val="32"/>
          <w:szCs w:val="32"/>
        </w:rPr>
      </w:pPr>
      <w:r>
        <w:rPr>
          <w:rFonts w:hint="eastAsia" w:ascii="仿宋_GB2312" w:eastAsia="仿宋_GB2312"/>
          <w:sz w:val="32"/>
          <w:szCs w:val="32"/>
        </w:rPr>
        <w:t xml:space="preserve">2.1 </w:t>
      </w:r>
      <w:r>
        <w:rPr>
          <w:rFonts w:hint="eastAsia" w:ascii="仿宋_GB2312" w:hAnsi="黑体" w:eastAsia="仿宋_GB2312"/>
          <w:sz w:val="32"/>
          <w:szCs w:val="32"/>
        </w:rPr>
        <w:t>监理的范围和</w:t>
      </w:r>
      <w:r>
        <w:rPr>
          <w:rFonts w:hint="eastAsia" w:ascii="仿宋_GB2312" w:hAnsi="宋体" w:eastAsia="仿宋_GB2312"/>
          <w:bCs/>
          <w:sz w:val="32"/>
          <w:szCs w:val="32"/>
        </w:rPr>
        <w:t>内容</w:t>
      </w:r>
    </w:p>
    <w:p w14:paraId="11669E9C">
      <w:pPr>
        <w:adjustRightInd w:val="0"/>
        <w:snapToGrid w:val="0"/>
        <w:spacing w:line="360" w:lineRule="auto"/>
        <w:ind w:firstLine="640" w:firstLineChars="200"/>
        <w:rPr>
          <w:rFonts w:ascii="仿宋_GB2312" w:hAnsi="宋体" w:eastAsia="仿宋_GB2312"/>
          <w:sz w:val="32"/>
          <w:szCs w:val="32"/>
        </w:rPr>
      </w:pPr>
      <w:r>
        <w:rPr>
          <w:rFonts w:hint="eastAsia" w:ascii="仿宋_GB2312" w:eastAsia="仿宋_GB2312"/>
          <w:sz w:val="32"/>
          <w:szCs w:val="32"/>
        </w:rPr>
        <w:t xml:space="preserve">2.1.1 </w:t>
      </w:r>
      <w:r>
        <w:rPr>
          <w:rFonts w:hint="eastAsia" w:ascii="仿宋_GB2312" w:hAnsi="宋体" w:eastAsia="仿宋_GB2312"/>
          <w:sz w:val="32"/>
          <w:szCs w:val="32"/>
        </w:rPr>
        <w:t>监理范围包括：</w:t>
      </w:r>
      <w:r>
        <w:rPr>
          <w:rFonts w:hint="eastAsia" w:ascii="仿宋_GB2312" w:eastAsia="仿宋_GB2312"/>
          <w:u w:val="single"/>
        </w:rPr>
        <w:t xml:space="preserve">  </w:t>
      </w:r>
      <w:r>
        <w:rPr>
          <w:rFonts w:hint="eastAsia" w:ascii="仿宋_GB2312" w:eastAsia="仿宋_GB2312"/>
          <w:sz w:val="32"/>
          <w:szCs w:val="32"/>
          <w:u w:val="single"/>
        </w:rPr>
        <w:t>本项目建设程序中施工阶段、缺陷责任期阶段工程监理</w:t>
      </w:r>
      <w:r>
        <w:rPr>
          <w:rFonts w:hint="eastAsia" w:ascii="仿宋_GB2312" w:hAnsi="宋体" w:eastAsia="仿宋_GB2312"/>
          <w:sz w:val="32"/>
          <w:szCs w:val="32"/>
        </w:rPr>
        <w:t>。</w:t>
      </w:r>
    </w:p>
    <w:p w14:paraId="28DF80F8">
      <w:pPr>
        <w:adjustRightInd w:val="0"/>
        <w:snapToGrid w:val="0"/>
        <w:spacing w:line="360" w:lineRule="auto"/>
        <w:ind w:firstLine="640" w:firstLineChars="200"/>
        <w:rPr>
          <w:rFonts w:ascii="仿宋_GB2312" w:hAnsi="宋体" w:eastAsia="仿宋_GB2312"/>
          <w:sz w:val="32"/>
          <w:szCs w:val="32"/>
        </w:rPr>
      </w:pPr>
      <w:r>
        <w:rPr>
          <w:rFonts w:hint="eastAsia" w:ascii="仿宋_GB2312" w:eastAsia="仿宋_GB2312"/>
          <w:sz w:val="32"/>
          <w:szCs w:val="32"/>
        </w:rPr>
        <w:t xml:space="preserve">2.1.2 </w:t>
      </w:r>
      <w:r>
        <w:rPr>
          <w:rFonts w:hint="eastAsia" w:ascii="仿宋_GB2312" w:hAnsi="宋体" w:eastAsia="仿宋_GB2312"/>
          <w:sz w:val="32"/>
          <w:szCs w:val="32"/>
        </w:rPr>
        <w:t>监理工作内容还包括：</w:t>
      </w:r>
    </w:p>
    <w:p w14:paraId="216369B6">
      <w:pPr>
        <w:adjustRightInd w:val="0"/>
        <w:snapToGrid w:val="0"/>
        <w:spacing w:line="360" w:lineRule="auto"/>
        <w:ind w:firstLine="640" w:firstLineChars="200"/>
        <w:rPr>
          <w:rFonts w:ascii="仿宋_GB2312" w:hAnsi="宋体" w:eastAsia="仿宋_GB2312"/>
          <w:sz w:val="32"/>
          <w:szCs w:val="32"/>
        </w:rPr>
      </w:pPr>
      <w:r>
        <w:rPr>
          <w:rFonts w:hint="eastAsia" w:ascii="仿宋_GB2312" w:hAnsi="宋体" w:eastAsia="仿宋_GB2312"/>
          <w:sz w:val="32"/>
          <w:szCs w:val="32"/>
        </w:rPr>
        <w:t>1、参与评审设计及施工方案，总监理工程师审查签字、加盖执业印章。</w:t>
      </w:r>
    </w:p>
    <w:p w14:paraId="7DDB26C2">
      <w:pPr>
        <w:adjustRightInd w:val="0"/>
        <w:snapToGrid w:val="0"/>
        <w:spacing w:line="360" w:lineRule="auto"/>
        <w:ind w:firstLine="640" w:firstLineChars="200"/>
        <w:rPr>
          <w:rFonts w:ascii="仿宋_GB2312" w:hAnsi="宋体" w:eastAsia="仿宋_GB2312"/>
          <w:sz w:val="32"/>
          <w:szCs w:val="32"/>
        </w:rPr>
      </w:pPr>
      <w:r>
        <w:rPr>
          <w:rFonts w:hint="eastAsia" w:ascii="仿宋_GB2312" w:hAnsi="宋体" w:eastAsia="仿宋_GB2312"/>
          <w:sz w:val="32"/>
          <w:szCs w:val="32"/>
        </w:rPr>
        <w:t>2、严格按照实施方案及监理规划内容【包括但不限于以下内容：（1）工程质量控制、（2）工程进度控制、（3）工程投资控制（4）安全文明施工控制（5）合同管理、信息管理措施（6）工程组织协调措施（7）工程施工重点、难点分析、处理方法及监理对策】，全过程进行施工现场管控，落实方案执行、进度控制、质量控制、安全环保及消防管理、信息管理，协调各方现场工作关系等。</w:t>
      </w:r>
    </w:p>
    <w:p w14:paraId="5B6AD0CB">
      <w:pPr>
        <w:adjustRightInd w:val="0"/>
        <w:snapToGrid w:val="0"/>
        <w:spacing w:line="360" w:lineRule="auto"/>
        <w:ind w:firstLine="640" w:firstLineChars="200"/>
        <w:rPr>
          <w:rFonts w:ascii="仿宋_GB2312" w:hAnsi="宋体" w:eastAsia="仿宋_GB2312"/>
          <w:sz w:val="32"/>
          <w:szCs w:val="32"/>
        </w:rPr>
      </w:pPr>
      <w:r>
        <w:rPr>
          <w:rFonts w:hint="eastAsia" w:ascii="仿宋_GB2312" w:hAnsi="宋体" w:eastAsia="仿宋_GB2312"/>
          <w:sz w:val="32"/>
          <w:szCs w:val="32"/>
        </w:rPr>
        <w:t>3、向委托人提交监理文件（书面材料均需总监理工程师签字认可）。</w:t>
      </w:r>
    </w:p>
    <w:p w14:paraId="2BD8E060">
      <w:pPr>
        <w:adjustRightInd w:val="0"/>
        <w:snapToGrid w:val="0"/>
        <w:spacing w:line="360" w:lineRule="auto"/>
        <w:ind w:firstLine="640" w:firstLineChars="200"/>
        <w:rPr>
          <w:rFonts w:ascii="仿宋_GB2312" w:hAnsi="宋体" w:eastAsia="仿宋_GB2312"/>
          <w:sz w:val="32"/>
          <w:szCs w:val="32"/>
        </w:rPr>
      </w:pPr>
      <w:r>
        <w:rPr>
          <w:rFonts w:hint="eastAsia" w:ascii="仿宋_GB2312" w:hAnsi="宋体" w:eastAsia="仿宋_GB2312"/>
          <w:sz w:val="32"/>
          <w:szCs w:val="32"/>
        </w:rPr>
        <w:t>4、三控制（投资控制、进度控制、质量控制）、三管理（安全管理、合同管理、信息管理）、一协调（参建各方现场工作关系的协调）。</w:t>
      </w:r>
    </w:p>
    <w:p w14:paraId="3A249A8B">
      <w:pPr>
        <w:spacing w:line="360" w:lineRule="auto"/>
        <w:ind w:firstLine="313" w:firstLineChars="98"/>
        <w:rPr>
          <w:rFonts w:ascii="仿宋_GB2312" w:eastAsia="仿宋_GB2312"/>
          <w:sz w:val="32"/>
          <w:szCs w:val="32"/>
        </w:rPr>
      </w:pPr>
      <w:r>
        <w:rPr>
          <w:rFonts w:hint="eastAsia" w:ascii="仿宋_GB2312" w:eastAsia="仿宋_GB2312"/>
          <w:sz w:val="32"/>
          <w:szCs w:val="32"/>
        </w:rPr>
        <w:t>2.2 监理与相关服务依据</w:t>
      </w:r>
    </w:p>
    <w:p w14:paraId="29498DE8">
      <w:pPr>
        <w:spacing w:line="360" w:lineRule="auto"/>
        <w:ind w:firstLine="640" w:firstLineChars="200"/>
        <w:rPr>
          <w:rFonts w:ascii="仿宋_GB2312" w:eastAsia="仿宋_GB2312"/>
          <w:sz w:val="32"/>
          <w:szCs w:val="32"/>
        </w:rPr>
      </w:pPr>
      <w:r>
        <w:rPr>
          <w:rFonts w:hint="eastAsia" w:ascii="仿宋_GB2312" w:eastAsia="仿宋_GB2312"/>
          <w:sz w:val="32"/>
          <w:szCs w:val="32"/>
        </w:rPr>
        <w:t>2.2.1 监理依据包括：</w:t>
      </w:r>
      <w:r>
        <w:rPr>
          <w:rFonts w:hint="eastAsia" w:ascii="仿宋_GB2312" w:eastAsia="仿宋_GB2312"/>
          <w:sz w:val="32"/>
          <w:szCs w:val="32"/>
          <w:u w:val="single"/>
        </w:rPr>
        <w:t xml:space="preserve">   按合同通用条款执行     </w:t>
      </w:r>
      <w:r>
        <w:rPr>
          <w:rFonts w:hint="eastAsia" w:ascii="仿宋_GB2312" w:hAnsi="宋体" w:eastAsia="仿宋_GB2312"/>
          <w:sz w:val="32"/>
          <w:szCs w:val="32"/>
        </w:rPr>
        <w:t>。</w:t>
      </w:r>
    </w:p>
    <w:p w14:paraId="05D5B4BB">
      <w:pPr>
        <w:adjustRightInd w:val="0"/>
        <w:snapToGrid w:val="0"/>
        <w:spacing w:line="360" w:lineRule="auto"/>
        <w:ind w:firstLine="640" w:firstLineChars="200"/>
        <w:rPr>
          <w:rFonts w:ascii="仿宋_GB2312" w:eastAsia="仿宋_GB2312"/>
          <w:dstrike/>
        </w:rPr>
      </w:pPr>
      <w:r>
        <w:rPr>
          <w:rFonts w:hint="eastAsia" w:ascii="仿宋_GB2312" w:hAnsi="宋体" w:eastAsia="仿宋_GB2312"/>
          <w:sz w:val="32"/>
          <w:szCs w:val="32"/>
        </w:rPr>
        <w:t>2.2.2 相关服务依据包括：</w:t>
      </w:r>
      <w:r>
        <w:rPr>
          <w:rFonts w:hint="eastAsia" w:ascii="仿宋_GB2312" w:hAnsi="宋体" w:eastAsia="仿宋_GB2312"/>
          <w:u w:val="single"/>
        </w:rPr>
        <w:t xml:space="preserve">         </w:t>
      </w:r>
      <w:r>
        <w:rPr>
          <w:rFonts w:ascii="仿宋_GB2312" w:hAnsi="宋体" w:eastAsia="仿宋_GB2312"/>
          <w:u w:val="single"/>
        </w:rPr>
        <w:t>/</w:t>
      </w:r>
      <w:r>
        <w:rPr>
          <w:rFonts w:hint="eastAsia" w:ascii="仿宋_GB2312" w:hAnsi="宋体" w:eastAsia="仿宋_GB2312"/>
          <w:u w:val="single"/>
        </w:rPr>
        <w:t xml:space="preserve">                     </w:t>
      </w:r>
      <w:r>
        <w:rPr>
          <w:rFonts w:hint="eastAsia" w:ascii="仿宋_GB2312" w:hAnsi="宋体" w:eastAsia="仿宋_GB2312"/>
        </w:rPr>
        <w:t>。</w:t>
      </w:r>
    </w:p>
    <w:p w14:paraId="72832D4B">
      <w:pPr>
        <w:spacing w:line="360" w:lineRule="auto"/>
        <w:rPr>
          <w:rFonts w:ascii="仿宋_GB2312" w:eastAsia="仿宋_GB2312"/>
          <w:sz w:val="32"/>
          <w:szCs w:val="32"/>
        </w:rPr>
      </w:pPr>
      <w:r>
        <w:rPr>
          <w:rFonts w:hint="eastAsia" w:ascii="仿宋_GB2312" w:eastAsia="仿宋_GB2312"/>
        </w:rPr>
        <w:t xml:space="preserve"> </w:t>
      </w:r>
      <w:r>
        <w:rPr>
          <w:rFonts w:hint="eastAsia" w:ascii="仿宋_GB2312" w:eastAsia="仿宋_GB2312"/>
          <w:sz w:val="32"/>
          <w:szCs w:val="32"/>
        </w:rPr>
        <w:t xml:space="preserve"> 2.3</w:t>
      </w:r>
      <w:r>
        <w:rPr>
          <w:rFonts w:hint="eastAsia" w:ascii="仿宋_GB2312" w:hAnsi="宋体" w:eastAsia="仿宋_GB2312" w:cs="宋体"/>
          <w:sz w:val="32"/>
          <w:szCs w:val="32"/>
        </w:rPr>
        <w:t>项目监理机构和人员</w:t>
      </w:r>
    </w:p>
    <w:p w14:paraId="2D6D7B67">
      <w:pPr>
        <w:adjustRightInd w:val="0"/>
        <w:snapToGrid w:val="0"/>
        <w:spacing w:line="360" w:lineRule="auto"/>
        <w:ind w:firstLine="640" w:firstLineChars="200"/>
        <w:rPr>
          <w:rFonts w:ascii="仿宋_GB2312" w:eastAsia="仿宋_GB2312"/>
          <w:sz w:val="32"/>
          <w:szCs w:val="32"/>
        </w:rPr>
      </w:pPr>
      <w:r>
        <w:rPr>
          <w:rFonts w:hint="eastAsia" w:ascii="仿宋_GB2312" w:eastAsia="仿宋_GB2312"/>
          <w:sz w:val="32"/>
          <w:szCs w:val="32"/>
        </w:rPr>
        <w:t>2.3.1 本项目监理要求设置总监理工程师/专业监理工程师1名</w:t>
      </w:r>
      <w:bookmarkStart w:id="278" w:name="_Hlk180589902"/>
      <w:r>
        <w:rPr>
          <w:rFonts w:hint="eastAsia" w:ascii="仿宋_GB2312" w:eastAsia="仿宋_GB2312"/>
          <w:sz w:val="32"/>
          <w:szCs w:val="32"/>
        </w:rPr>
        <w:t>。</w:t>
      </w:r>
      <w:bookmarkEnd w:id="278"/>
    </w:p>
    <w:p w14:paraId="5C23DA49">
      <w:pPr>
        <w:adjustRightInd w:val="0"/>
        <w:snapToGrid w:val="0"/>
        <w:spacing w:line="360" w:lineRule="auto"/>
        <w:ind w:firstLine="640" w:firstLineChars="200"/>
        <w:rPr>
          <w:rFonts w:ascii="仿宋_GB2312" w:hAnsi="Times New Roman" w:eastAsia="仿宋_GB2312" w:cs="Times New Roman"/>
          <w:sz w:val="32"/>
          <w:szCs w:val="32"/>
          <w:u w:val="single"/>
        </w:rPr>
      </w:pPr>
      <w:r>
        <w:rPr>
          <w:rFonts w:hint="eastAsia" w:ascii="仿宋_GB2312" w:eastAsia="仿宋_GB2312"/>
          <w:sz w:val="32"/>
          <w:szCs w:val="32"/>
        </w:rPr>
        <w:t xml:space="preserve">2.3.2 </w:t>
      </w:r>
      <w:r>
        <w:rPr>
          <w:rFonts w:hint="eastAsia" w:ascii="仿宋_GB2312" w:hAnsi="宋体" w:eastAsia="仿宋_GB2312"/>
          <w:sz w:val="32"/>
          <w:szCs w:val="32"/>
        </w:rPr>
        <w:t>更换监理人员的其他情形：</w:t>
      </w:r>
      <w:r>
        <w:rPr>
          <w:rFonts w:hint="eastAsia" w:ascii="仿宋_GB2312" w:hAnsi="宋体" w:eastAsia="仿宋_GB2312"/>
          <w:sz w:val="32"/>
          <w:szCs w:val="32"/>
          <w:u w:val="single"/>
        </w:rPr>
        <w:t>项目施工周期内，</w:t>
      </w:r>
      <w:r>
        <w:rPr>
          <w:rFonts w:hint="eastAsia" w:ascii="仿宋_GB2312" w:hAnsi="Times New Roman" w:eastAsia="仿宋_GB2312" w:cs="Times New Roman"/>
          <w:sz w:val="32"/>
          <w:szCs w:val="32"/>
          <w:u w:val="single"/>
        </w:rPr>
        <w:t>监理人员必须常驻工地，实施旁站式监理。监理项目部组成人员必须是投标文件中的人员，开工后必须到场。如有特殊原因需要更换监理人员的，须提出书面申请，经委托人同意后，才能更换更高一级或相同资质的专业人员。</w:t>
      </w:r>
    </w:p>
    <w:p w14:paraId="667A0160">
      <w:pPr>
        <w:spacing w:line="360" w:lineRule="auto"/>
        <w:ind w:firstLine="313" w:firstLineChars="98"/>
        <w:rPr>
          <w:rFonts w:ascii="仿宋_GB2312" w:hAnsi="宋体" w:eastAsia="仿宋_GB2312" w:cs="宋体"/>
          <w:sz w:val="32"/>
          <w:szCs w:val="32"/>
        </w:rPr>
      </w:pPr>
      <w:r>
        <w:rPr>
          <w:rFonts w:hint="eastAsia" w:ascii="仿宋_GB2312" w:eastAsia="仿宋_GB2312"/>
          <w:sz w:val="32"/>
          <w:szCs w:val="32"/>
        </w:rPr>
        <w:t xml:space="preserve">2.4 </w:t>
      </w:r>
      <w:r>
        <w:rPr>
          <w:rFonts w:hint="eastAsia" w:ascii="仿宋_GB2312" w:hAnsi="宋体" w:eastAsia="仿宋_GB2312" w:cs="宋体"/>
          <w:sz w:val="32"/>
          <w:szCs w:val="32"/>
        </w:rPr>
        <w:t>履行职责</w:t>
      </w:r>
    </w:p>
    <w:p w14:paraId="7193BE6D">
      <w:pPr>
        <w:adjustRightInd w:val="0"/>
        <w:snapToGrid w:val="0"/>
        <w:spacing w:line="360" w:lineRule="auto"/>
        <w:ind w:firstLine="640" w:firstLineChars="200"/>
        <w:rPr>
          <w:rFonts w:ascii="仿宋_GB2312" w:hAnsi="宋体" w:eastAsia="仿宋_GB2312"/>
          <w:sz w:val="32"/>
          <w:szCs w:val="32"/>
        </w:rPr>
      </w:pPr>
      <w:r>
        <w:rPr>
          <w:rFonts w:hint="eastAsia" w:ascii="仿宋_GB2312" w:eastAsia="仿宋_GB2312"/>
          <w:sz w:val="32"/>
          <w:szCs w:val="32"/>
        </w:rPr>
        <w:t xml:space="preserve">2.4.3 </w:t>
      </w:r>
      <w:r>
        <w:rPr>
          <w:rFonts w:hint="eastAsia" w:ascii="仿宋_GB2312" w:hAnsi="宋体" w:eastAsia="仿宋_GB2312"/>
          <w:sz w:val="32"/>
          <w:szCs w:val="32"/>
        </w:rPr>
        <w:t>对监理人的授权范围：</w:t>
      </w:r>
      <w:r>
        <w:rPr>
          <w:rFonts w:hint="eastAsia" w:ascii="仿宋_GB2312" w:eastAsia="仿宋_GB2312"/>
          <w:sz w:val="32"/>
          <w:szCs w:val="32"/>
          <w:u w:val="single"/>
        </w:rPr>
        <w:t>施工阶段过程监理</w:t>
      </w:r>
      <w:r>
        <w:rPr>
          <w:rFonts w:hint="eastAsia" w:ascii="仿宋_GB2312" w:eastAsia="仿宋_GB2312"/>
          <w:sz w:val="32"/>
          <w:szCs w:val="32"/>
          <w:u w:val="single"/>
          <w:lang w:val="en-US"/>
        </w:rPr>
        <w:t>及缺陷责任期阶段监理，质量、造价、进度控制、合同、信息、安全管理、组织协调</w:t>
      </w:r>
      <w:r>
        <w:rPr>
          <w:rFonts w:hint="eastAsia" w:ascii="仿宋_GB2312" w:eastAsia="仿宋_GB2312"/>
          <w:sz w:val="32"/>
          <w:szCs w:val="32"/>
          <w:u w:val="single"/>
        </w:rPr>
        <w:t>。</w:t>
      </w:r>
    </w:p>
    <w:p w14:paraId="4BFD53C8">
      <w:pPr>
        <w:adjustRightInd w:val="0"/>
        <w:snapToGrid w:val="0"/>
        <w:spacing w:line="360" w:lineRule="auto"/>
        <w:ind w:firstLine="640" w:firstLineChars="200"/>
        <w:rPr>
          <w:rFonts w:ascii="仿宋_GB2312" w:hAnsi="宋体" w:eastAsia="仿宋_GB2312"/>
          <w:sz w:val="32"/>
          <w:szCs w:val="32"/>
        </w:rPr>
      </w:pPr>
      <w:r>
        <w:rPr>
          <w:rFonts w:hint="eastAsia" w:ascii="仿宋_GB2312" w:hAnsi="宋体" w:eastAsia="仿宋_GB2312"/>
          <w:sz w:val="32"/>
          <w:szCs w:val="32"/>
        </w:rPr>
        <w:t>在涉及工程延期</w:t>
      </w:r>
      <w:r>
        <w:rPr>
          <w:rFonts w:hint="eastAsia" w:ascii="仿宋_GB2312" w:eastAsia="仿宋_GB2312"/>
          <w:sz w:val="32"/>
          <w:szCs w:val="32"/>
          <w:u w:val="single"/>
        </w:rPr>
        <w:t xml:space="preserve">    </w:t>
      </w:r>
      <w:r>
        <w:rPr>
          <w:rFonts w:ascii="仿宋_GB2312" w:eastAsia="仿宋_GB2312"/>
          <w:sz w:val="32"/>
          <w:szCs w:val="32"/>
          <w:u w:val="single"/>
        </w:rPr>
        <w:t>/</w:t>
      </w:r>
      <w:r>
        <w:rPr>
          <w:rFonts w:hint="eastAsia" w:ascii="仿宋_GB2312" w:eastAsia="仿宋_GB2312"/>
          <w:sz w:val="32"/>
          <w:szCs w:val="32"/>
          <w:u w:val="single"/>
        </w:rPr>
        <w:t xml:space="preserve">  </w:t>
      </w:r>
      <w:r>
        <w:rPr>
          <w:rFonts w:hint="eastAsia" w:ascii="仿宋_GB2312" w:hAnsi="宋体" w:eastAsia="仿宋_GB2312"/>
          <w:sz w:val="32"/>
          <w:szCs w:val="32"/>
        </w:rPr>
        <w:t>天内和（或）金额</w:t>
      </w:r>
      <w:r>
        <w:rPr>
          <w:rFonts w:hint="eastAsia" w:ascii="仿宋_GB2312" w:eastAsia="仿宋_GB2312"/>
          <w:sz w:val="32"/>
          <w:szCs w:val="32"/>
          <w:u w:val="single"/>
        </w:rPr>
        <w:t xml:space="preserve">   </w:t>
      </w:r>
      <w:r>
        <w:rPr>
          <w:rFonts w:ascii="仿宋_GB2312" w:eastAsia="仿宋_GB2312"/>
          <w:sz w:val="32"/>
          <w:szCs w:val="32"/>
          <w:u w:val="single"/>
        </w:rPr>
        <w:t>/</w:t>
      </w:r>
      <w:r>
        <w:rPr>
          <w:rFonts w:hint="eastAsia" w:ascii="仿宋_GB2312" w:eastAsia="仿宋_GB2312"/>
          <w:sz w:val="32"/>
          <w:szCs w:val="32"/>
          <w:u w:val="single"/>
        </w:rPr>
        <w:t xml:space="preserve">    </w:t>
      </w:r>
      <w:r>
        <w:rPr>
          <w:rFonts w:hint="eastAsia" w:ascii="仿宋_GB2312" w:hAnsi="宋体" w:eastAsia="仿宋_GB2312"/>
          <w:sz w:val="32"/>
          <w:szCs w:val="32"/>
        </w:rPr>
        <w:t>万元内的变更，监理人不需请示委托人即可向承包人发布变更通知。</w:t>
      </w:r>
    </w:p>
    <w:p w14:paraId="508406FB">
      <w:pPr>
        <w:adjustRightInd w:val="0"/>
        <w:snapToGrid w:val="0"/>
        <w:spacing w:line="360" w:lineRule="auto"/>
        <w:ind w:firstLine="480" w:firstLineChars="150"/>
        <w:rPr>
          <w:rFonts w:ascii="仿宋_GB2312" w:eastAsia="仿宋_GB2312"/>
          <w:sz w:val="32"/>
          <w:szCs w:val="32"/>
        </w:rPr>
      </w:pPr>
      <w:r>
        <w:rPr>
          <w:rFonts w:hint="eastAsia" w:ascii="仿宋_GB2312" w:hAnsi="宋体" w:eastAsia="仿宋_GB2312"/>
          <w:sz w:val="32"/>
          <w:szCs w:val="32"/>
        </w:rPr>
        <w:t>2.4.4 监理人有权要求承包人调换其人员的限制条件：</w:t>
      </w:r>
      <w:r>
        <w:rPr>
          <w:rFonts w:hint="eastAsia" w:ascii="仿宋_GB2312" w:hAnsi="宋体" w:eastAsia="仿宋_GB2312"/>
          <w:u w:val="single"/>
        </w:rPr>
        <w:t xml:space="preserve">执行“通用条款”  </w:t>
      </w:r>
      <w:r>
        <w:rPr>
          <w:rFonts w:hint="eastAsia" w:ascii="仿宋_GB2312" w:hAnsi="宋体" w:eastAsia="仿宋_GB2312"/>
        </w:rPr>
        <w:t>。</w:t>
      </w:r>
    </w:p>
    <w:p w14:paraId="740CB787">
      <w:pPr>
        <w:adjustRightInd w:val="0"/>
        <w:snapToGrid w:val="0"/>
        <w:spacing w:line="360" w:lineRule="auto"/>
        <w:ind w:firstLine="160" w:firstLineChars="50"/>
        <w:rPr>
          <w:rFonts w:ascii="仿宋_GB2312" w:eastAsia="仿宋_GB2312"/>
          <w:sz w:val="32"/>
          <w:szCs w:val="32"/>
        </w:rPr>
      </w:pPr>
      <w:r>
        <w:rPr>
          <w:rFonts w:hint="eastAsia" w:ascii="仿宋_GB2312" w:eastAsia="仿宋_GB2312"/>
          <w:sz w:val="32"/>
          <w:szCs w:val="32"/>
        </w:rPr>
        <w:t xml:space="preserve">2.5 </w:t>
      </w:r>
      <w:r>
        <w:rPr>
          <w:rFonts w:hint="eastAsia" w:ascii="仿宋_GB2312" w:hAnsi="宋体" w:eastAsia="仿宋_GB2312"/>
          <w:sz w:val="32"/>
          <w:szCs w:val="32"/>
        </w:rPr>
        <w:t>提交</w:t>
      </w:r>
      <w:r>
        <w:rPr>
          <w:rFonts w:hint="eastAsia" w:ascii="仿宋_GB2312" w:hAnsi="宋体" w:eastAsia="仿宋_GB2312" w:cs="宋体"/>
          <w:sz w:val="32"/>
          <w:szCs w:val="32"/>
        </w:rPr>
        <w:t>报告</w:t>
      </w:r>
    </w:p>
    <w:p w14:paraId="26E9A8E9">
      <w:pPr>
        <w:adjustRightInd w:val="0"/>
        <w:snapToGrid w:val="0"/>
        <w:spacing w:line="360" w:lineRule="auto"/>
        <w:ind w:firstLine="525"/>
        <w:rPr>
          <w:rFonts w:ascii="仿宋_GB2312" w:hAnsi="宋体" w:eastAsia="仿宋_GB2312"/>
          <w:sz w:val="32"/>
          <w:szCs w:val="32"/>
          <w:u w:val="single"/>
        </w:rPr>
      </w:pPr>
      <w:r>
        <w:rPr>
          <w:rFonts w:hint="eastAsia" w:ascii="仿宋_GB2312" w:hAnsi="宋体" w:eastAsia="仿宋_GB2312"/>
          <w:sz w:val="32"/>
          <w:szCs w:val="32"/>
        </w:rPr>
        <w:t>监理人应提交报告的种类(</w:t>
      </w:r>
      <w:r>
        <w:rPr>
          <w:rFonts w:hint="eastAsia" w:ascii="仿宋_GB2312" w:hAnsi="宋体" w:eastAsia="仿宋_GB2312" w:cs="宋体"/>
          <w:sz w:val="32"/>
          <w:szCs w:val="32"/>
        </w:rPr>
        <w:t>包括监理规划、监理月报及约定的专项报告)</w:t>
      </w:r>
      <w:r>
        <w:rPr>
          <w:rFonts w:hint="eastAsia" w:ascii="仿宋_GB2312" w:hAnsi="宋体" w:eastAsia="仿宋_GB2312"/>
          <w:sz w:val="32"/>
          <w:szCs w:val="32"/>
        </w:rPr>
        <w:t>、时间和份数</w:t>
      </w:r>
      <w:r>
        <w:rPr>
          <w:rFonts w:hint="eastAsia" w:ascii="仿宋_GB2312" w:hAnsi="宋体" w:eastAsia="仿宋_GB2312" w:cs="宋体"/>
          <w:sz w:val="32"/>
          <w:szCs w:val="32"/>
        </w:rPr>
        <w:t>：</w:t>
      </w:r>
      <w:r>
        <w:rPr>
          <w:rFonts w:hint="eastAsia" w:ascii="仿宋_GB2312" w:hAnsi="宋体" w:eastAsia="仿宋_GB2312"/>
          <w:sz w:val="32"/>
          <w:szCs w:val="32"/>
          <w:u w:val="single"/>
        </w:rPr>
        <w:t>合同签订后10日内提交监理规划及实施细则，监理日志、会议纪要每周汇总提交委托人审查，监理月报每月汇总提交委托人审查；其他专项报告按照</w:t>
      </w:r>
      <w:r>
        <w:rPr>
          <w:rFonts w:hint="eastAsia" w:ascii="仿宋_GB2312" w:hAnsi="宋体" w:eastAsia="仿宋_GB2312"/>
          <w:color w:val="auto"/>
          <w:sz w:val="32"/>
          <w:szCs w:val="32"/>
          <w:u w:val="single"/>
        </w:rPr>
        <w:t>委托人</w:t>
      </w:r>
      <w:r>
        <w:rPr>
          <w:rFonts w:hint="eastAsia" w:ascii="仿宋_GB2312" w:hAnsi="宋体" w:eastAsia="仿宋_GB2312"/>
          <w:sz w:val="32"/>
          <w:szCs w:val="32"/>
          <w:u w:val="single"/>
        </w:rPr>
        <w:t>的要求提交。上述书面材料均需总监理工程师签字认可。</w:t>
      </w:r>
    </w:p>
    <w:p w14:paraId="6D01B7A7">
      <w:pPr>
        <w:spacing w:line="360" w:lineRule="auto"/>
        <w:rPr>
          <w:rFonts w:ascii="仿宋_GB2312" w:hAnsi="黑体" w:eastAsia="仿宋_GB2312"/>
          <w:b/>
          <w:sz w:val="32"/>
          <w:szCs w:val="32"/>
        </w:rPr>
      </w:pPr>
      <w:r>
        <w:rPr>
          <w:rFonts w:hint="eastAsia" w:ascii="仿宋_GB2312" w:eastAsia="仿宋_GB2312"/>
          <w:sz w:val="32"/>
          <w:szCs w:val="32"/>
        </w:rPr>
        <w:t xml:space="preserve"> </w:t>
      </w:r>
      <w:r>
        <w:rPr>
          <w:rFonts w:hint="eastAsia" w:ascii="仿宋_GB2312" w:hAnsi="黑体" w:eastAsia="仿宋_GB2312"/>
          <w:b/>
          <w:sz w:val="32"/>
          <w:szCs w:val="32"/>
        </w:rPr>
        <w:t xml:space="preserve">3. 委托人义务  </w:t>
      </w:r>
    </w:p>
    <w:p w14:paraId="75EF66AB">
      <w:pPr>
        <w:snapToGrid w:val="0"/>
        <w:spacing w:line="360" w:lineRule="auto"/>
        <w:rPr>
          <w:rFonts w:ascii="仿宋_GB2312" w:eastAsia="仿宋_GB2312"/>
          <w:sz w:val="32"/>
          <w:szCs w:val="32"/>
        </w:rPr>
      </w:pPr>
      <w:r>
        <w:rPr>
          <w:rFonts w:hint="eastAsia" w:ascii="仿宋_GB2312" w:eastAsia="仿宋_GB2312"/>
        </w:rPr>
        <w:t xml:space="preserve">  </w:t>
      </w:r>
      <w:r>
        <w:rPr>
          <w:rFonts w:hint="eastAsia" w:ascii="仿宋_GB2312" w:eastAsia="仿宋_GB2312"/>
          <w:sz w:val="32"/>
          <w:szCs w:val="32"/>
        </w:rPr>
        <w:t xml:space="preserve">3.4 </w:t>
      </w:r>
      <w:r>
        <w:rPr>
          <w:rFonts w:hint="eastAsia" w:ascii="仿宋_GB2312" w:hAnsi="宋体" w:eastAsia="仿宋_GB2312" w:cs="宋体"/>
          <w:sz w:val="32"/>
          <w:szCs w:val="32"/>
        </w:rPr>
        <w:t>委托人代表</w:t>
      </w:r>
    </w:p>
    <w:p w14:paraId="7C42A8A0">
      <w:pPr>
        <w:adjustRightInd w:val="0"/>
        <w:snapToGrid w:val="0"/>
        <w:spacing w:line="360" w:lineRule="auto"/>
        <w:ind w:firstLine="640" w:firstLineChars="200"/>
        <w:rPr>
          <w:rFonts w:ascii="仿宋_GB2312" w:eastAsia="仿宋_GB2312"/>
          <w:u w:val="single"/>
        </w:rPr>
      </w:pPr>
      <w:r>
        <w:rPr>
          <w:rFonts w:hint="eastAsia" w:ascii="仿宋_GB2312" w:hAnsi="宋体" w:eastAsia="仿宋_GB2312"/>
          <w:sz w:val="32"/>
          <w:szCs w:val="32"/>
        </w:rPr>
        <w:t>委托人代表为：</w:t>
      </w:r>
      <w:r>
        <w:rPr>
          <w:rFonts w:hint="eastAsia" w:ascii="仿宋_GB2312" w:eastAsia="仿宋_GB2312"/>
          <w:sz w:val="32"/>
          <w:szCs w:val="32"/>
          <w:u w:val="single"/>
        </w:rPr>
        <w:t xml:space="preserve">        </w:t>
      </w:r>
      <w:r>
        <w:rPr>
          <w:rFonts w:hint="eastAsia" w:ascii="仿宋_GB2312" w:eastAsia="仿宋_GB2312"/>
          <w:u w:val="single"/>
        </w:rPr>
        <w:t xml:space="preserve">                    </w:t>
      </w:r>
      <w:r>
        <w:rPr>
          <w:rFonts w:hint="eastAsia" w:ascii="仿宋_GB2312" w:hAnsi="宋体" w:eastAsia="仿宋_GB2312"/>
        </w:rPr>
        <w:t>。</w:t>
      </w:r>
    </w:p>
    <w:p w14:paraId="244C01BB">
      <w:pPr>
        <w:adjustRightInd w:val="0"/>
        <w:snapToGrid w:val="0"/>
        <w:spacing w:line="360" w:lineRule="auto"/>
        <w:ind w:firstLine="313" w:firstLineChars="98"/>
        <w:rPr>
          <w:rFonts w:ascii="仿宋_GB2312" w:hAnsi="宋体" w:eastAsia="仿宋_GB2312" w:cs="宋体"/>
          <w:sz w:val="32"/>
          <w:szCs w:val="32"/>
        </w:rPr>
      </w:pPr>
      <w:r>
        <w:rPr>
          <w:rFonts w:hint="eastAsia" w:ascii="仿宋_GB2312" w:eastAsia="仿宋_GB2312"/>
          <w:sz w:val="32"/>
          <w:szCs w:val="32"/>
        </w:rPr>
        <w:t xml:space="preserve">3.6 </w:t>
      </w:r>
      <w:r>
        <w:rPr>
          <w:rFonts w:hint="eastAsia" w:ascii="仿宋_GB2312" w:hAnsi="宋体" w:eastAsia="仿宋_GB2312" w:cs="宋体"/>
          <w:sz w:val="32"/>
          <w:szCs w:val="32"/>
        </w:rPr>
        <w:t>答复</w:t>
      </w:r>
    </w:p>
    <w:p w14:paraId="12EB234D">
      <w:pPr>
        <w:adjustRightInd w:val="0"/>
        <w:snapToGrid w:val="0"/>
        <w:spacing w:line="360" w:lineRule="auto"/>
        <w:ind w:firstLine="640" w:firstLineChars="200"/>
        <w:rPr>
          <w:rFonts w:ascii="仿宋_GB2312" w:eastAsia="仿宋_GB2312"/>
        </w:rPr>
      </w:pPr>
      <w:r>
        <w:rPr>
          <w:rFonts w:hint="eastAsia" w:ascii="仿宋_GB2312" w:hAnsi="宋体" w:eastAsia="仿宋_GB2312"/>
          <w:sz w:val="32"/>
          <w:szCs w:val="32"/>
        </w:rPr>
        <w:t>委托人同意在</w:t>
      </w:r>
      <w:r>
        <w:rPr>
          <w:rFonts w:hint="eastAsia" w:ascii="仿宋_GB2312" w:eastAsia="仿宋_GB2312"/>
          <w:sz w:val="32"/>
          <w:szCs w:val="32"/>
          <w:u w:val="single"/>
        </w:rPr>
        <w:t xml:space="preserve"> </w:t>
      </w:r>
      <w:r>
        <w:rPr>
          <w:rFonts w:ascii="仿宋_GB2312" w:eastAsia="仿宋_GB2312"/>
          <w:sz w:val="32"/>
          <w:szCs w:val="32"/>
          <w:u w:val="single"/>
        </w:rPr>
        <w:t>7</w:t>
      </w:r>
      <w:r>
        <w:rPr>
          <w:rFonts w:hint="eastAsia" w:ascii="仿宋_GB2312" w:eastAsia="仿宋_GB2312"/>
          <w:sz w:val="32"/>
          <w:szCs w:val="32"/>
          <w:u w:val="single"/>
        </w:rPr>
        <w:t xml:space="preserve"> </w:t>
      </w:r>
      <w:r>
        <w:rPr>
          <w:rFonts w:hint="eastAsia" w:ascii="仿宋_GB2312" w:hAnsi="宋体" w:eastAsia="仿宋_GB2312"/>
          <w:sz w:val="32"/>
          <w:szCs w:val="32"/>
        </w:rPr>
        <w:t>天内，对监理人书面提交并要求做出决定的事宜给予书面答复。</w:t>
      </w:r>
    </w:p>
    <w:p w14:paraId="61B5F592">
      <w:pPr>
        <w:snapToGrid w:val="0"/>
        <w:spacing w:line="360" w:lineRule="auto"/>
        <w:rPr>
          <w:rFonts w:ascii="仿宋_GB2312" w:hAnsi="黑体" w:eastAsia="仿宋_GB2312"/>
          <w:b/>
          <w:bCs/>
          <w:sz w:val="32"/>
          <w:szCs w:val="32"/>
        </w:rPr>
      </w:pPr>
      <w:r>
        <w:rPr>
          <w:rFonts w:hint="eastAsia" w:ascii="仿宋_GB2312" w:hAnsi="黑体" w:eastAsia="仿宋_GB2312"/>
          <w:b/>
          <w:bCs/>
          <w:sz w:val="32"/>
          <w:szCs w:val="32"/>
        </w:rPr>
        <w:t>4. 违约责任</w:t>
      </w:r>
    </w:p>
    <w:p w14:paraId="1C9ACF83">
      <w:pPr>
        <w:spacing w:line="360" w:lineRule="auto"/>
        <w:ind w:left="240" w:leftChars="100"/>
        <w:rPr>
          <w:rFonts w:ascii="仿宋_GB2312" w:hAnsi="宋体" w:eastAsia="仿宋_GB2312" w:cs="宋体"/>
          <w:sz w:val="32"/>
          <w:szCs w:val="32"/>
        </w:rPr>
      </w:pPr>
      <w:r>
        <w:rPr>
          <w:rFonts w:hint="eastAsia" w:ascii="仿宋_GB2312" w:eastAsia="仿宋_GB2312"/>
          <w:sz w:val="32"/>
          <w:szCs w:val="32"/>
        </w:rPr>
        <w:t xml:space="preserve">4.1 </w:t>
      </w:r>
      <w:r>
        <w:rPr>
          <w:rFonts w:hint="eastAsia" w:ascii="仿宋_GB2312" w:hAnsi="宋体" w:eastAsia="仿宋_GB2312" w:cs="宋体"/>
          <w:sz w:val="32"/>
          <w:szCs w:val="32"/>
        </w:rPr>
        <w:t>监理人的违约责任</w:t>
      </w:r>
    </w:p>
    <w:p w14:paraId="7A179686">
      <w:pPr>
        <w:snapToGrid w:val="0"/>
        <w:spacing w:line="360" w:lineRule="auto"/>
        <w:ind w:firstLine="320" w:firstLineChars="100"/>
        <w:rPr>
          <w:rFonts w:ascii="仿宋_GB2312" w:eastAsia="仿宋_GB2312"/>
          <w:sz w:val="32"/>
          <w:szCs w:val="32"/>
        </w:rPr>
      </w:pPr>
      <w:r>
        <w:rPr>
          <w:rFonts w:hint="eastAsia" w:ascii="仿宋_GB2312" w:eastAsia="仿宋_GB2312"/>
          <w:sz w:val="32"/>
          <w:szCs w:val="32"/>
        </w:rPr>
        <w:t>（1）进度违约：由于监理人的责任造成工程进度达不到委托人的要求，监理人每延期一天按300元（叁佰元）向委托人支付违约金。</w:t>
      </w:r>
    </w:p>
    <w:p w14:paraId="75F68CE3">
      <w:pPr>
        <w:snapToGrid w:val="0"/>
        <w:spacing w:line="360" w:lineRule="auto"/>
        <w:ind w:firstLine="320" w:firstLineChars="100"/>
        <w:rPr>
          <w:rFonts w:ascii="仿宋_GB2312" w:eastAsia="仿宋_GB2312"/>
          <w:sz w:val="32"/>
          <w:szCs w:val="32"/>
        </w:rPr>
      </w:pPr>
      <w:r>
        <w:rPr>
          <w:rFonts w:hint="eastAsia" w:ascii="仿宋_GB2312" w:eastAsia="仿宋_GB2312"/>
          <w:sz w:val="32"/>
          <w:szCs w:val="32"/>
        </w:rPr>
        <w:t>（2）工程质量违约：由于监理人的责任造成工程质量问题，根据情节轻重，监理人每出现一次，按照1000元（壹仟元）～2000元（贰仟元）向委托人支付违约金。具体的违约金数额由委托人单方确定，如前述违约金不足以赔偿委托人因此受到的损失，则监理人应按照委托人实际受损额另行补齐（最大赔偿金不超过监理酬金）。</w:t>
      </w:r>
    </w:p>
    <w:p w14:paraId="0E87C433">
      <w:pPr>
        <w:snapToGrid w:val="0"/>
        <w:spacing w:line="360" w:lineRule="auto"/>
        <w:ind w:firstLine="320" w:firstLineChars="100"/>
        <w:rPr>
          <w:rFonts w:ascii="仿宋_GB2312" w:eastAsia="仿宋_GB2312"/>
          <w:sz w:val="32"/>
          <w:szCs w:val="32"/>
        </w:rPr>
      </w:pPr>
      <w:r>
        <w:rPr>
          <w:rFonts w:hint="eastAsia" w:ascii="仿宋_GB2312" w:eastAsia="仿宋_GB2312"/>
          <w:sz w:val="32"/>
          <w:szCs w:val="32"/>
        </w:rPr>
        <w:t>（3）监理人工作质量违约：监理过程中由于监理不到位，或违反监理程序监理，或未按监理规划、监理细则监理的，监理人每出现一次按2000元（贰仟元）～3000元（叁仟元）向委托人支付违约金。如前述违约金不足以赔偿委托人因此受到的损失，则监理人应按照委托人实际受损额另行补齐（最大赔偿金不超过监理酬金）。</w:t>
      </w:r>
    </w:p>
    <w:p w14:paraId="097E8304">
      <w:pPr>
        <w:snapToGrid w:val="0"/>
        <w:spacing w:line="360" w:lineRule="auto"/>
        <w:ind w:firstLine="320" w:firstLineChars="100"/>
        <w:rPr>
          <w:rFonts w:ascii="仿宋_GB2312" w:eastAsia="仿宋_GB2312"/>
          <w:sz w:val="32"/>
          <w:szCs w:val="32"/>
        </w:rPr>
      </w:pPr>
      <w:r>
        <w:rPr>
          <w:rFonts w:hint="eastAsia" w:ascii="仿宋_GB2312" w:eastAsia="仿宋_GB2312"/>
          <w:sz w:val="32"/>
          <w:szCs w:val="32"/>
        </w:rPr>
        <w:t>（4）提交资料违约：监理人不能按要求向委托人提交各种监理资料，每次按300元（叁佰元）～500元（伍佰元）向委托人支付违约金。如前述违约金不足以赔偿委托人因此受到的损失，则监理人应按照委托人实际受损额另行补齐（最大赔偿金不超过监理酬金）。</w:t>
      </w:r>
    </w:p>
    <w:p w14:paraId="5574E38E">
      <w:pPr>
        <w:snapToGrid w:val="0"/>
        <w:spacing w:line="360" w:lineRule="auto"/>
        <w:ind w:firstLine="320" w:firstLineChars="100"/>
        <w:rPr>
          <w:rFonts w:ascii="仿宋_GB2312" w:eastAsia="仿宋_GB2312"/>
          <w:sz w:val="32"/>
          <w:szCs w:val="32"/>
        </w:rPr>
      </w:pPr>
      <w:r>
        <w:rPr>
          <w:rFonts w:hint="eastAsia" w:ascii="仿宋_GB2312" w:eastAsia="仿宋_GB2312"/>
          <w:sz w:val="32"/>
          <w:szCs w:val="32"/>
        </w:rPr>
        <w:t>（5）如果因监理人的原因，造成服务不到位或达不到委托人的要求，委托人有权要求监理人整改直至暂停服务、终止或解除合同。</w:t>
      </w:r>
    </w:p>
    <w:p w14:paraId="004A93C9">
      <w:pPr>
        <w:snapToGrid w:val="0"/>
        <w:spacing w:line="360" w:lineRule="auto"/>
        <w:ind w:firstLine="320" w:firstLineChars="100"/>
        <w:rPr>
          <w:rFonts w:ascii="仿宋_GB2312" w:eastAsia="仿宋_GB2312"/>
          <w:sz w:val="32"/>
          <w:szCs w:val="32"/>
        </w:rPr>
      </w:pPr>
      <w:r>
        <w:rPr>
          <w:rFonts w:hint="eastAsia" w:ascii="仿宋_GB2312" w:eastAsia="仿宋_GB2312"/>
          <w:sz w:val="32"/>
          <w:szCs w:val="32"/>
        </w:rPr>
        <w:t>（6）监理人指派的总监理工程师应保证</w:t>
      </w:r>
      <w:r>
        <w:rPr>
          <w:rFonts w:hint="eastAsia" w:ascii="仿宋_GB2312" w:eastAsia="仿宋_GB2312"/>
          <w:sz w:val="32"/>
          <w:szCs w:val="32"/>
          <w:lang w:val="en-US"/>
        </w:rPr>
        <w:t>施工阶段每日到位</w:t>
      </w:r>
      <w:r>
        <w:rPr>
          <w:rFonts w:hint="eastAsia" w:ascii="仿宋_GB2312" w:eastAsia="仿宋_GB2312"/>
          <w:sz w:val="32"/>
          <w:szCs w:val="32"/>
        </w:rPr>
        <w:t>，</w:t>
      </w:r>
      <w:r>
        <w:rPr>
          <w:rFonts w:hint="eastAsia" w:ascii="仿宋_GB2312" w:eastAsia="仿宋_GB2312"/>
          <w:sz w:val="32"/>
          <w:szCs w:val="32"/>
          <w:lang w:val="en-US"/>
        </w:rPr>
        <w:t>否则</w:t>
      </w:r>
      <w:r>
        <w:rPr>
          <w:rFonts w:hint="eastAsia" w:ascii="仿宋_GB2312" w:eastAsia="仿宋_GB2312"/>
          <w:sz w:val="32"/>
          <w:szCs w:val="32"/>
        </w:rPr>
        <w:t>委托人将予以500元/天违约处理；专业监理工程师应保证</w:t>
      </w:r>
      <w:r>
        <w:rPr>
          <w:rFonts w:hint="eastAsia" w:ascii="仿宋_GB2312" w:eastAsia="仿宋_GB2312"/>
          <w:sz w:val="32"/>
          <w:szCs w:val="32"/>
          <w:lang w:val="en-US"/>
        </w:rPr>
        <w:t>施工阶段每日到位</w:t>
      </w:r>
      <w:r>
        <w:rPr>
          <w:rFonts w:hint="eastAsia" w:ascii="仿宋_GB2312" w:eastAsia="仿宋_GB2312"/>
          <w:sz w:val="32"/>
          <w:szCs w:val="32"/>
        </w:rPr>
        <w:t>，否则，委托人将予以300元/天违约处理，特殊情况经委托人同意除外。总监理工程师应参加周工程例会，未经委托人批准，擅自缺席工程例会的，每次支付违约金300元。</w:t>
      </w:r>
    </w:p>
    <w:p w14:paraId="4814274A">
      <w:pPr>
        <w:snapToGrid w:val="0"/>
        <w:spacing w:line="360" w:lineRule="auto"/>
        <w:ind w:firstLine="320" w:firstLineChars="100"/>
        <w:rPr>
          <w:rFonts w:ascii="仿宋_GB2312" w:eastAsia="仿宋_GB2312"/>
          <w:sz w:val="32"/>
          <w:szCs w:val="32"/>
        </w:rPr>
      </w:pPr>
      <w:r>
        <w:rPr>
          <w:rFonts w:hint="eastAsia" w:ascii="仿宋_GB2312" w:eastAsia="仿宋_GB2312"/>
          <w:sz w:val="32"/>
          <w:szCs w:val="32"/>
        </w:rPr>
        <w:t>（7）发生未按施工技术规范标准施工及未按审批的方案施工或无方案施工等情况，监理人未采取有效措施的，责令改正，视情节每项</w:t>
      </w:r>
      <w:bookmarkStart w:id="279" w:name="_Hlk218599564"/>
      <w:r>
        <w:rPr>
          <w:rFonts w:hint="eastAsia" w:ascii="仿宋_GB2312" w:eastAsia="仿宋_GB2312"/>
          <w:color w:val="auto"/>
          <w:sz w:val="32"/>
          <w:szCs w:val="32"/>
        </w:rPr>
        <w:t>向委托人支付违约金</w:t>
      </w:r>
      <w:bookmarkEnd w:id="279"/>
      <w:r>
        <w:rPr>
          <w:rFonts w:hint="eastAsia" w:ascii="仿宋_GB2312" w:eastAsia="仿宋_GB2312"/>
          <w:sz w:val="32"/>
          <w:szCs w:val="32"/>
        </w:rPr>
        <w:t>1000-3000元。</w:t>
      </w:r>
    </w:p>
    <w:p w14:paraId="48340E3C">
      <w:pPr>
        <w:snapToGrid w:val="0"/>
        <w:spacing w:line="360" w:lineRule="auto"/>
        <w:ind w:firstLine="320" w:firstLineChars="100"/>
        <w:rPr>
          <w:rFonts w:ascii="仿宋_GB2312" w:eastAsia="仿宋_GB2312"/>
          <w:sz w:val="32"/>
          <w:szCs w:val="32"/>
        </w:rPr>
      </w:pPr>
      <w:r>
        <w:rPr>
          <w:rFonts w:hint="eastAsia" w:ascii="仿宋_GB2312" w:eastAsia="仿宋_GB2312"/>
          <w:sz w:val="32"/>
          <w:szCs w:val="32"/>
        </w:rPr>
        <w:t>（8）发生未按规定对材料、半成品、构配件和设备进行检验，或未对涉及结构安全的试块、试件以及有关材料取样检测等情况，监理单位未采取有效措施的，责令改正，视情节每项考核1000-2000元。发生偷工减料、以次充好，使用不合格材料、半成品、构配件和设备的，监理人未采取有效措施的，责令改正，视情节每项考核2000-4000元。</w:t>
      </w:r>
    </w:p>
    <w:p w14:paraId="1012FF8C">
      <w:pPr>
        <w:snapToGrid w:val="0"/>
        <w:spacing w:line="360" w:lineRule="auto"/>
        <w:ind w:firstLine="320" w:firstLineChars="100"/>
        <w:rPr>
          <w:rFonts w:ascii="仿宋_GB2312" w:eastAsia="仿宋_GB2312"/>
          <w:sz w:val="32"/>
          <w:szCs w:val="32"/>
        </w:rPr>
      </w:pPr>
      <w:r>
        <w:rPr>
          <w:rFonts w:hint="eastAsia" w:ascii="仿宋_GB2312" w:eastAsia="仿宋_GB2312"/>
          <w:sz w:val="32"/>
          <w:szCs w:val="32"/>
        </w:rPr>
        <w:t>（9）对于质量监督部门、公司相关部门的整改文涵，监理单位不整改或未按期整改或整改不到位的，责令改正，视情节每次考核1000-3000元。质量问题和工程尾项未认真、及时处理，存在安全、质量隐患等情况，监理单位未采取有效措施的，责令改正，视情节每次向委托人支付违约金1000-2000元。</w:t>
      </w:r>
    </w:p>
    <w:p w14:paraId="43E258FA">
      <w:pPr>
        <w:snapToGrid w:val="0"/>
        <w:spacing w:line="360" w:lineRule="auto"/>
        <w:ind w:firstLine="320" w:firstLineChars="100"/>
        <w:rPr>
          <w:rFonts w:ascii="仿宋_GB2312" w:eastAsia="仿宋_GB2312"/>
          <w:sz w:val="32"/>
          <w:szCs w:val="32"/>
        </w:rPr>
      </w:pPr>
      <w:r>
        <w:rPr>
          <w:rFonts w:hint="eastAsia" w:ascii="仿宋_GB2312" w:eastAsia="仿宋_GB2312"/>
          <w:sz w:val="32"/>
          <w:szCs w:val="32"/>
        </w:rPr>
        <w:t>（10）工程存在影响结构安全或使用功能的质量隐患且有监理责任的，责令改正，并视情节每项向委托人支付违约金4000-6000元。监理隐瞒质量事故或隐瞒影响结构安全或使用功能质量隐患的，视情节每次向委托人支付违约金10000-20000元。</w:t>
      </w:r>
    </w:p>
    <w:p w14:paraId="5D7C54B9">
      <w:pPr>
        <w:snapToGrid w:val="0"/>
        <w:spacing w:line="360" w:lineRule="auto"/>
        <w:ind w:firstLine="320" w:firstLineChars="100"/>
        <w:rPr>
          <w:rFonts w:ascii="仿宋_GB2312" w:eastAsia="仿宋_GB2312"/>
          <w:sz w:val="32"/>
          <w:szCs w:val="32"/>
        </w:rPr>
      </w:pPr>
      <w:r>
        <w:rPr>
          <w:rFonts w:hint="eastAsia" w:ascii="仿宋_GB2312" w:eastAsia="仿宋_GB2312"/>
          <w:sz w:val="32"/>
          <w:szCs w:val="32"/>
        </w:rPr>
        <w:t>（11）因履职不到位导致项目出现人身伤害事故或险肇事故的，视情节每次向委托人支付违约金1000-3000元，情节严重的，依据国家相关法律法规执行。</w:t>
      </w:r>
    </w:p>
    <w:p w14:paraId="05CB1840">
      <w:pPr>
        <w:snapToGrid w:val="0"/>
        <w:spacing w:line="360" w:lineRule="auto"/>
        <w:ind w:firstLine="320" w:firstLineChars="100"/>
        <w:rPr>
          <w:rFonts w:ascii="仿宋_GB2312" w:eastAsia="仿宋_GB2312"/>
          <w:sz w:val="32"/>
          <w:szCs w:val="32"/>
        </w:rPr>
      </w:pPr>
      <w:r>
        <w:rPr>
          <w:rFonts w:hint="eastAsia" w:ascii="仿宋_GB2312" w:eastAsia="仿宋_GB2312"/>
          <w:sz w:val="32"/>
          <w:szCs w:val="32"/>
        </w:rPr>
        <w:t>（12）监理体系不健全，监理负责人、专业监理工程师等配置不符合要求、履职能力低下、存在监理失误的，责令改正，并视情节每次向委托人支付违约金8000-20000元。</w:t>
      </w:r>
    </w:p>
    <w:p w14:paraId="5B6DF6F6">
      <w:pPr>
        <w:snapToGrid w:val="0"/>
        <w:spacing w:line="360" w:lineRule="auto"/>
        <w:ind w:firstLine="320" w:firstLineChars="100"/>
        <w:rPr>
          <w:rFonts w:ascii="仿宋_GB2312" w:eastAsia="仿宋_GB2312"/>
          <w:sz w:val="32"/>
          <w:szCs w:val="32"/>
        </w:rPr>
      </w:pPr>
      <w:r>
        <w:rPr>
          <w:rFonts w:hint="eastAsia" w:ascii="仿宋_GB2312" w:eastAsia="仿宋_GB2312"/>
          <w:sz w:val="32"/>
          <w:szCs w:val="32"/>
        </w:rPr>
        <w:t>（13）监理违约由委托人发出《监理违约通知单》，违约金额在监理款中予以扣除。</w:t>
      </w:r>
    </w:p>
    <w:p w14:paraId="24A81F8C">
      <w:pPr>
        <w:snapToGrid w:val="0"/>
        <w:spacing w:line="360" w:lineRule="auto"/>
        <w:ind w:firstLine="320" w:firstLineChars="100"/>
        <w:rPr>
          <w:rFonts w:ascii="仿宋_GB2312" w:eastAsia="仿宋_GB2312"/>
          <w:sz w:val="32"/>
          <w:szCs w:val="32"/>
        </w:rPr>
      </w:pPr>
      <w:r>
        <w:rPr>
          <w:rFonts w:hint="eastAsia" w:ascii="仿宋_GB2312" w:eastAsia="仿宋_GB2312"/>
          <w:sz w:val="32"/>
          <w:szCs w:val="32"/>
        </w:rPr>
        <w:t>（14）本合同中监理工作内容和监理职责未尽事宜，执行国家有关规定。</w:t>
      </w:r>
    </w:p>
    <w:p w14:paraId="60CF1214">
      <w:pPr>
        <w:snapToGrid w:val="0"/>
        <w:spacing w:line="360" w:lineRule="auto"/>
        <w:ind w:firstLine="320" w:firstLineChars="100"/>
        <w:rPr>
          <w:rFonts w:ascii="仿宋_GB2312" w:hAnsi="宋体" w:eastAsia="仿宋_GB2312" w:cs="宋体"/>
          <w:sz w:val="32"/>
          <w:szCs w:val="32"/>
        </w:rPr>
      </w:pPr>
      <w:r>
        <w:rPr>
          <w:rFonts w:hint="eastAsia" w:ascii="仿宋_GB2312" w:eastAsia="仿宋_GB2312"/>
          <w:sz w:val="32"/>
          <w:szCs w:val="32"/>
        </w:rPr>
        <w:t>4.2 委</w:t>
      </w:r>
      <w:r>
        <w:rPr>
          <w:rFonts w:hint="eastAsia" w:ascii="仿宋_GB2312" w:hAnsi="宋体" w:eastAsia="仿宋_GB2312" w:cs="宋体"/>
          <w:sz w:val="32"/>
          <w:szCs w:val="32"/>
        </w:rPr>
        <w:t>托人的违约责任</w:t>
      </w:r>
    </w:p>
    <w:p w14:paraId="02F56967">
      <w:pPr>
        <w:spacing w:line="360" w:lineRule="auto"/>
        <w:ind w:firstLine="640" w:firstLineChars="200"/>
        <w:rPr>
          <w:rFonts w:ascii="仿宋_GB2312" w:hAnsi="宋体" w:eastAsia="仿宋_GB2312"/>
          <w:sz w:val="32"/>
          <w:szCs w:val="32"/>
        </w:rPr>
      </w:pPr>
      <w:r>
        <w:rPr>
          <w:rFonts w:hint="eastAsia" w:ascii="仿宋_GB2312" w:eastAsia="仿宋_GB2312"/>
          <w:sz w:val="32"/>
          <w:szCs w:val="32"/>
        </w:rPr>
        <w:t>4.2.3 委托人</w:t>
      </w:r>
      <w:r>
        <w:rPr>
          <w:rFonts w:hint="eastAsia" w:ascii="仿宋_GB2312" w:hAnsi="宋体" w:eastAsia="仿宋_GB2312"/>
          <w:sz w:val="32"/>
          <w:szCs w:val="32"/>
        </w:rPr>
        <w:t>逾期付款利息按下列方法确定：</w:t>
      </w:r>
    </w:p>
    <w:p w14:paraId="1BD9499F">
      <w:pPr>
        <w:spacing w:line="360" w:lineRule="auto"/>
        <w:ind w:firstLine="640" w:firstLineChars="200"/>
        <w:rPr>
          <w:rFonts w:ascii="仿宋_GB2312" w:hAnsi="宋体" w:eastAsia="仿宋_GB2312"/>
          <w:sz w:val="32"/>
          <w:szCs w:val="32"/>
        </w:rPr>
      </w:pPr>
      <w:r>
        <w:rPr>
          <w:rFonts w:hint="eastAsia" w:ascii="仿宋_GB2312" w:hAnsi="宋体" w:eastAsia="仿宋_GB2312"/>
          <w:sz w:val="32"/>
          <w:szCs w:val="32"/>
        </w:rPr>
        <w:t>逾期付款利息＝当期应付款总额</w:t>
      </w:r>
      <w:r>
        <w:rPr>
          <w:rFonts w:hint="eastAsia" w:ascii="仿宋_GB2312" w:eastAsia="仿宋_GB2312"/>
          <w:sz w:val="32"/>
          <w:szCs w:val="32"/>
        </w:rPr>
        <w:t>×</w:t>
      </w:r>
      <w:r>
        <w:rPr>
          <w:rFonts w:hint="eastAsia" w:ascii="仿宋_GB2312" w:hAnsi="宋体" w:eastAsia="仿宋_GB2312"/>
          <w:sz w:val="32"/>
          <w:szCs w:val="32"/>
        </w:rPr>
        <w:t>银行同期贷款利率</w:t>
      </w:r>
      <w:r>
        <w:rPr>
          <w:rFonts w:hint="eastAsia" w:ascii="仿宋_GB2312" w:eastAsia="仿宋_GB2312"/>
          <w:sz w:val="32"/>
          <w:szCs w:val="32"/>
        </w:rPr>
        <w:t>×</w:t>
      </w:r>
      <w:r>
        <w:rPr>
          <w:rFonts w:hint="eastAsia" w:ascii="仿宋_GB2312" w:hAnsi="宋体" w:eastAsia="仿宋_GB2312"/>
          <w:sz w:val="32"/>
          <w:szCs w:val="32"/>
        </w:rPr>
        <w:t>拖延支付天数</w:t>
      </w:r>
    </w:p>
    <w:p w14:paraId="79EA0AE3">
      <w:pPr>
        <w:snapToGrid w:val="0"/>
        <w:spacing w:line="360" w:lineRule="auto"/>
        <w:rPr>
          <w:rFonts w:ascii="仿宋_GB2312" w:hAnsi="黑体" w:eastAsia="仿宋_GB2312"/>
          <w:b/>
          <w:sz w:val="32"/>
          <w:szCs w:val="32"/>
        </w:rPr>
      </w:pPr>
      <w:r>
        <w:rPr>
          <w:rFonts w:hint="eastAsia" w:ascii="仿宋_GB2312" w:hAnsi="黑体" w:eastAsia="仿宋_GB2312"/>
          <w:b/>
          <w:bCs/>
          <w:sz w:val="32"/>
          <w:szCs w:val="32"/>
        </w:rPr>
        <w:t>5. 支付</w:t>
      </w:r>
    </w:p>
    <w:p w14:paraId="22B0AB2A">
      <w:pPr>
        <w:snapToGrid w:val="0"/>
        <w:spacing w:line="360" w:lineRule="auto"/>
        <w:rPr>
          <w:rFonts w:ascii="仿宋_GB2312" w:hAnsi="宋体" w:eastAsia="仿宋_GB2312"/>
          <w:bCs/>
          <w:sz w:val="32"/>
          <w:szCs w:val="32"/>
        </w:rPr>
      </w:pPr>
      <w:r>
        <w:rPr>
          <w:rFonts w:hint="eastAsia" w:ascii="仿宋_GB2312" w:eastAsia="仿宋_GB2312"/>
        </w:rPr>
        <w:t xml:space="preserve"> </w:t>
      </w:r>
      <w:r>
        <w:rPr>
          <w:rFonts w:hint="eastAsia" w:ascii="仿宋_GB2312" w:eastAsia="仿宋_GB2312"/>
          <w:sz w:val="32"/>
          <w:szCs w:val="32"/>
        </w:rPr>
        <w:t xml:space="preserve"> 5.1 </w:t>
      </w:r>
      <w:r>
        <w:rPr>
          <w:rFonts w:hint="eastAsia" w:ascii="仿宋_GB2312" w:hAnsi="宋体" w:eastAsia="仿宋_GB2312"/>
          <w:bCs/>
          <w:sz w:val="32"/>
          <w:szCs w:val="32"/>
        </w:rPr>
        <w:t>支付货币</w:t>
      </w:r>
    </w:p>
    <w:p w14:paraId="6EA3381B">
      <w:pPr>
        <w:snapToGrid w:val="0"/>
        <w:spacing w:line="360" w:lineRule="auto"/>
        <w:ind w:firstLine="640" w:firstLineChars="200"/>
        <w:rPr>
          <w:rFonts w:ascii="仿宋_GB2312" w:hAnsi="宋体" w:eastAsia="仿宋_GB2312"/>
        </w:rPr>
      </w:pPr>
      <w:r>
        <w:rPr>
          <w:rFonts w:hint="eastAsia" w:ascii="仿宋_GB2312" w:hAnsi="宋体" w:eastAsia="仿宋_GB2312"/>
          <w:sz w:val="32"/>
          <w:szCs w:val="32"/>
        </w:rPr>
        <w:t>币种为：</w:t>
      </w:r>
      <w:r>
        <w:rPr>
          <w:rFonts w:hint="eastAsia" w:ascii="仿宋_GB2312" w:hAnsi="宋体" w:eastAsia="仿宋_GB2312"/>
          <w:sz w:val="32"/>
          <w:szCs w:val="32"/>
          <w:u w:val="single"/>
        </w:rPr>
        <w:t xml:space="preserve">  人民币     </w:t>
      </w:r>
      <w:r>
        <w:rPr>
          <w:rFonts w:hint="eastAsia" w:ascii="仿宋_GB2312" w:hAnsi="宋体" w:eastAsia="仿宋_GB2312"/>
          <w:sz w:val="32"/>
          <w:szCs w:val="32"/>
        </w:rPr>
        <w:t>，比例为：</w:t>
      </w:r>
      <w:r>
        <w:rPr>
          <w:rFonts w:hint="eastAsia" w:ascii="仿宋_GB2312" w:hAnsi="宋体" w:eastAsia="仿宋_GB2312"/>
          <w:sz w:val="32"/>
          <w:szCs w:val="32"/>
          <w:u w:val="single"/>
        </w:rPr>
        <w:t xml:space="preserve">   </w:t>
      </w:r>
      <w:r>
        <w:rPr>
          <w:rFonts w:ascii="仿宋_GB2312" w:hAnsi="宋体" w:eastAsia="仿宋_GB2312"/>
          <w:sz w:val="32"/>
          <w:szCs w:val="32"/>
          <w:u w:val="single"/>
        </w:rPr>
        <w:t>/</w:t>
      </w:r>
      <w:r>
        <w:rPr>
          <w:rFonts w:hint="eastAsia" w:ascii="仿宋_GB2312" w:hAnsi="宋体" w:eastAsia="仿宋_GB2312"/>
          <w:sz w:val="32"/>
          <w:szCs w:val="32"/>
          <w:u w:val="single"/>
        </w:rPr>
        <w:t xml:space="preserve">   </w:t>
      </w:r>
      <w:r>
        <w:rPr>
          <w:rFonts w:hint="eastAsia" w:ascii="仿宋_GB2312" w:hAnsi="宋体" w:eastAsia="仿宋_GB2312"/>
          <w:sz w:val="32"/>
          <w:szCs w:val="32"/>
        </w:rPr>
        <w:t>，汇率为：</w:t>
      </w:r>
      <w:r>
        <w:rPr>
          <w:rFonts w:ascii="仿宋_GB2312" w:hAnsi="宋体" w:eastAsia="仿宋_GB2312"/>
          <w:sz w:val="32"/>
          <w:szCs w:val="32"/>
          <w:u w:val="single"/>
        </w:rPr>
        <w:t>/</w:t>
      </w:r>
      <w:r>
        <w:rPr>
          <w:rFonts w:hint="eastAsia" w:ascii="仿宋_GB2312" w:hAnsi="宋体" w:eastAsia="仿宋_GB2312"/>
          <w:sz w:val="32"/>
          <w:szCs w:val="32"/>
        </w:rPr>
        <w:t>。</w:t>
      </w:r>
      <w:r>
        <w:rPr>
          <w:rFonts w:hint="eastAsia" w:ascii="仿宋_GB2312" w:hAnsi="宋体" w:eastAsia="仿宋_GB2312"/>
        </w:rPr>
        <w:t xml:space="preserve"> </w:t>
      </w:r>
    </w:p>
    <w:p w14:paraId="06AC5973">
      <w:pPr>
        <w:snapToGrid w:val="0"/>
        <w:spacing w:line="360" w:lineRule="auto"/>
        <w:ind w:firstLine="640" w:firstLineChars="200"/>
        <w:rPr>
          <w:rFonts w:ascii="仿宋_GB2312" w:hAnsi="宋体" w:eastAsia="仿宋_GB2312"/>
        </w:rPr>
      </w:pPr>
      <w:r>
        <w:rPr>
          <w:rFonts w:hint="eastAsia" w:ascii="仿宋_GB2312" w:hAnsi="宋体" w:eastAsia="仿宋_GB2312"/>
          <w:sz w:val="32"/>
          <w:szCs w:val="32"/>
        </w:rPr>
        <w:t>支付方式为：银行转账。</w:t>
      </w:r>
    </w:p>
    <w:p w14:paraId="1CF04B26">
      <w:pPr>
        <w:snapToGrid w:val="0"/>
        <w:spacing w:line="360" w:lineRule="auto"/>
        <w:ind w:firstLine="320" w:firstLineChars="100"/>
        <w:rPr>
          <w:rFonts w:ascii="仿宋_GB2312" w:eastAsia="仿宋_GB2312"/>
          <w:sz w:val="32"/>
          <w:szCs w:val="32"/>
        </w:rPr>
      </w:pPr>
      <w:r>
        <w:rPr>
          <w:rFonts w:hint="eastAsia" w:ascii="仿宋_GB2312" w:eastAsia="仿宋_GB2312"/>
          <w:sz w:val="32"/>
          <w:szCs w:val="32"/>
        </w:rPr>
        <w:t>5.3 支付酬金</w:t>
      </w:r>
    </w:p>
    <w:p w14:paraId="497FB763">
      <w:pPr>
        <w:snapToGrid w:val="0"/>
        <w:spacing w:line="360" w:lineRule="auto"/>
        <w:ind w:firstLine="640" w:firstLineChars="200"/>
        <w:rPr>
          <w:rFonts w:ascii="仿宋_GB2312" w:hAnsi="宋体" w:eastAsia="仿宋_GB2312" w:cs="宋体"/>
          <w:sz w:val="32"/>
          <w:szCs w:val="32"/>
        </w:rPr>
      </w:pPr>
      <w:r>
        <w:rPr>
          <w:rFonts w:hint="eastAsia" w:ascii="仿宋_GB2312" w:eastAsia="仿宋_GB2312"/>
          <w:sz w:val="32"/>
          <w:szCs w:val="32"/>
        </w:rPr>
        <w:t>正常工作</w:t>
      </w:r>
      <w:r>
        <w:rPr>
          <w:rFonts w:hint="eastAsia" w:ascii="仿宋_GB2312" w:hAnsi="宋体" w:eastAsia="仿宋_GB2312"/>
          <w:sz w:val="32"/>
          <w:szCs w:val="32"/>
        </w:rPr>
        <w:t>酬金的</w:t>
      </w:r>
      <w:r>
        <w:rPr>
          <w:rFonts w:hint="eastAsia" w:ascii="仿宋_GB2312" w:hAnsi="宋体" w:eastAsia="仿宋_GB2312" w:cs="宋体"/>
          <w:sz w:val="32"/>
          <w:szCs w:val="32"/>
        </w:rPr>
        <w:t>支付</w:t>
      </w:r>
      <w:r>
        <w:rPr>
          <w:rFonts w:hint="eastAsia" w:ascii="仿宋_GB2312" w:hAnsi="宋体" w:eastAsia="仿宋_GB2312"/>
          <w:sz w:val="32"/>
          <w:szCs w:val="32"/>
        </w:rPr>
        <w:t>：</w:t>
      </w:r>
    </w:p>
    <w:tbl>
      <w:tblPr>
        <w:tblStyle w:val="23"/>
        <w:tblW w:w="0" w:type="auto"/>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59"/>
        <w:gridCol w:w="2439"/>
        <w:gridCol w:w="1417"/>
        <w:gridCol w:w="2665"/>
      </w:tblGrid>
      <w:tr w14:paraId="33F890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9" w:type="dxa"/>
            <w:vAlign w:val="center"/>
          </w:tcPr>
          <w:p w14:paraId="43AB2EDA">
            <w:pPr>
              <w:spacing w:line="360" w:lineRule="auto"/>
              <w:jc w:val="center"/>
              <w:rPr>
                <w:rFonts w:ascii="仿宋_GB2312" w:hAnsi="宋体" w:eastAsia="仿宋_GB2312"/>
                <w:sz w:val="28"/>
                <w:szCs w:val="28"/>
              </w:rPr>
            </w:pPr>
            <w:r>
              <w:rPr>
                <w:rFonts w:hint="eastAsia" w:ascii="仿宋_GB2312" w:hAnsi="宋体" w:eastAsia="仿宋_GB2312"/>
                <w:sz w:val="28"/>
                <w:szCs w:val="28"/>
              </w:rPr>
              <w:t>支付次数</w:t>
            </w:r>
          </w:p>
        </w:tc>
        <w:tc>
          <w:tcPr>
            <w:tcW w:w="2439" w:type="dxa"/>
            <w:vAlign w:val="center"/>
          </w:tcPr>
          <w:p w14:paraId="19312B87">
            <w:pPr>
              <w:spacing w:line="360" w:lineRule="auto"/>
              <w:jc w:val="center"/>
              <w:rPr>
                <w:rFonts w:ascii="仿宋_GB2312" w:hAnsi="宋体" w:eastAsia="仿宋_GB2312"/>
                <w:sz w:val="28"/>
                <w:szCs w:val="28"/>
              </w:rPr>
            </w:pPr>
            <w:r>
              <w:rPr>
                <w:rFonts w:hint="eastAsia" w:ascii="仿宋_GB2312" w:hAnsi="宋体" w:eastAsia="仿宋_GB2312"/>
                <w:sz w:val="28"/>
                <w:szCs w:val="28"/>
              </w:rPr>
              <w:t>支付时间</w:t>
            </w:r>
          </w:p>
        </w:tc>
        <w:tc>
          <w:tcPr>
            <w:tcW w:w="1417" w:type="dxa"/>
            <w:vAlign w:val="center"/>
          </w:tcPr>
          <w:p w14:paraId="0E5F94B7">
            <w:pPr>
              <w:spacing w:line="360" w:lineRule="auto"/>
              <w:jc w:val="center"/>
              <w:rPr>
                <w:rFonts w:ascii="仿宋_GB2312" w:hAnsi="宋体" w:eastAsia="仿宋_GB2312"/>
                <w:sz w:val="28"/>
                <w:szCs w:val="28"/>
              </w:rPr>
            </w:pPr>
            <w:r>
              <w:rPr>
                <w:rFonts w:hint="eastAsia" w:ascii="仿宋_GB2312" w:hAnsi="宋体" w:eastAsia="仿宋_GB2312"/>
                <w:sz w:val="28"/>
                <w:szCs w:val="28"/>
              </w:rPr>
              <w:t>支付比例</w:t>
            </w:r>
          </w:p>
        </w:tc>
        <w:tc>
          <w:tcPr>
            <w:tcW w:w="2665" w:type="dxa"/>
            <w:vAlign w:val="center"/>
          </w:tcPr>
          <w:p w14:paraId="03D8EC94">
            <w:pPr>
              <w:spacing w:line="360" w:lineRule="auto"/>
              <w:jc w:val="center"/>
              <w:rPr>
                <w:rFonts w:ascii="仿宋_GB2312" w:hAnsi="宋体" w:eastAsia="仿宋_GB2312"/>
                <w:sz w:val="28"/>
                <w:szCs w:val="28"/>
              </w:rPr>
            </w:pPr>
            <w:r>
              <w:rPr>
                <w:rFonts w:hint="eastAsia" w:ascii="仿宋_GB2312" w:hAnsi="宋体" w:eastAsia="仿宋_GB2312"/>
                <w:sz w:val="28"/>
                <w:szCs w:val="28"/>
              </w:rPr>
              <w:t>支付金额（万元）</w:t>
            </w:r>
          </w:p>
        </w:tc>
      </w:tr>
      <w:tr w14:paraId="39D3AD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9" w:type="dxa"/>
            <w:vAlign w:val="center"/>
          </w:tcPr>
          <w:p w14:paraId="61D7FAA9">
            <w:pPr>
              <w:spacing w:line="360" w:lineRule="auto"/>
              <w:jc w:val="center"/>
              <w:rPr>
                <w:rFonts w:ascii="仿宋_GB2312" w:hAnsi="宋体" w:eastAsia="仿宋_GB2312"/>
                <w:sz w:val="28"/>
                <w:szCs w:val="28"/>
              </w:rPr>
            </w:pPr>
            <w:r>
              <w:rPr>
                <w:rFonts w:hint="eastAsia" w:ascii="仿宋_GB2312" w:hAnsi="宋体" w:eastAsia="仿宋_GB2312"/>
                <w:sz w:val="28"/>
                <w:szCs w:val="28"/>
              </w:rPr>
              <w:t>首付款</w:t>
            </w:r>
          </w:p>
        </w:tc>
        <w:tc>
          <w:tcPr>
            <w:tcW w:w="2439" w:type="dxa"/>
            <w:vAlign w:val="center"/>
          </w:tcPr>
          <w:p w14:paraId="35B81EB4">
            <w:pPr>
              <w:spacing w:line="360" w:lineRule="auto"/>
              <w:jc w:val="center"/>
              <w:rPr>
                <w:rFonts w:ascii="仿宋_GB2312" w:eastAsia="仿宋_GB2312"/>
                <w:sz w:val="28"/>
                <w:szCs w:val="28"/>
                <w:lang w:val="en-US"/>
              </w:rPr>
            </w:pPr>
            <w:r>
              <w:rPr>
                <w:rFonts w:hint="eastAsia" w:ascii="仿宋_GB2312" w:eastAsia="仿宋_GB2312"/>
                <w:sz w:val="28"/>
                <w:szCs w:val="28"/>
                <w:lang w:val="en-US"/>
              </w:rPr>
              <w:t>竣工验收完成</w:t>
            </w:r>
          </w:p>
        </w:tc>
        <w:tc>
          <w:tcPr>
            <w:tcW w:w="1417" w:type="dxa"/>
            <w:vAlign w:val="center"/>
          </w:tcPr>
          <w:p w14:paraId="737EBC26">
            <w:pPr>
              <w:spacing w:line="360" w:lineRule="auto"/>
              <w:jc w:val="center"/>
              <w:rPr>
                <w:rFonts w:ascii="仿宋_GB2312" w:hAnsi="宋体" w:eastAsia="仿宋_GB2312"/>
                <w:sz w:val="28"/>
                <w:szCs w:val="28"/>
                <w:lang w:val="en-US"/>
              </w:rPr>
            </w:pPr>
            <w:r>
              <w:rPr>
                <w:rFonts w:hint="eastAsia" w:ascii="仿宋_GB2312" w:hAnsi="宋体" w:eastAsia="仿宋_GB2312"/>
                <w:sz w:val="28"/>
                <w:szCs w:val="28"/>
                <w:lang w:val="en-US"/>
              </w:rPr>
              <w:t>95%</w:t>
            </w:r>
          </w:p>
        </w:tc>
        <w:tc>
          <w:tcPr>
            <w:tcW w:w="2665" w:type="dxa"/>
            <w:vAlign w:val="center"/>
          </w:tcPr>
          <w:p w14:paraId="6004F90F">
            <w:pPr>
              <w:spacing w:line="360" w:lineRule="auto"/>
              <w:jc w:val="center"/>
              <w:rPr>
                <w:rFonts w:ascii="仿宋_GB2312" w:hAnsi="宋体" w:eastAsia="仿宋_GB2312"/>
                <w:sz w:val="28"/>
                <w:szCs w:val="28"/>
              </w:rPr>
            </w:pPr>
            <w:r>
              <w:rPr>
                <w:rFonts w:hint="eastAsia" w:ascii="仿宋_GB2312" w:hAnsi="宋体" w:eastAsia="仿宋_GB2312"/>
                <w:sz w:val="28"/>
                <w:szCs w:val="28"/>
                <w:lang w:val="en-US"/>
              </w:rPr>
              <w:t>参照总合同金额百分比付款</w:t>
            </w:r>
          </w:p>
        </w:tc>
      </w:tr>
      <w:tr w14:paraId="36C82F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9" w:type="dxa"/>
            <w:vAlign w:val="center"/>
          </w:tcPr>
          <w:p w14:paraId="08A10989">
            <w:pPr>
              <w:spacing w:line="360" w:lineRule="auto"/>
              <w:jc w:val="center"/>
              <w:rPr>
                <w:rFonts w:ascii="仿宋_GB2312" w:hAnsi="宋体" w:eastAsia="仿宋_GB2312"/>
                <w:sz w:val="28"/>
                <w:szCs w:val="28"/>
              </w:rPr>
            </w:pPr>
            <w:r>
              <w:rPr>
                <w:rFonts w:hint="eastAsia" w:ascii="仿宋_GB2312" w:hAnsi="宋体" w:eastAsia="仿宋_GB2312"/>
                <w:sz w:val="28"/>
                <w:szCs w:val="28"/>
              </w:rPr>
              <w:t>最后付款</w:t>
            </w:r>
          </w:p>
        </w:tc>
        <w:tc>
          <w:tcPr>
            <w:tcW w:w="2439" w:type="dxa"/>
            <w:vAlign w:val="center"/>
          </w:tcPr>
          <w:p w14:paraId="24F77E26">
            <w:pPr>
              <w:spacing w:line="360" w:lineRule="auto"/>
              <w:jc w:val="center"/>
              <w:rPr>
                <w:rFonts w:ascii="仿宋_GB2312" w:eastAsia="仿宋_GB2312"/>
                <w:sz w:val="28"/>
                <w:szCs w:val="28"/>
              </w:rPr>
            </w:pPr>
            <w:r>
              <w:rPr>
                <w:rFonts w:hint="eastAsia" w:ascii="仿宋_GB2312" w:hAnsi="宋体" w:eastAsia="仿宋_GB2312"/>
                <w:sz w:val="28"/>
                <w:szCs w:val="28"/>
              </w:rPr>
              <w:t>缺陷责任期届满</w:t>
            </w:r>
            <w:r>
              <w:rPr>
                <w:rFonts w:hint="eastAsia" w:ascii="仿宋_GB2312" w:eastAsia="仿宋_GB2312"/>
                <w:sz w:val="28"/>
                <w:szCs w:val="28"/>
              </w:rPr>
              <w:t>30</w:t>
            </w:r>
            <w:r>
              <w:rPr>
                <w:rFonts w:hint="eastAsia" w:ascii="仿宋_GB2312" w:hAnsi="宋体" w:eastAsia="仿宋_GB2312"/>
                <w:sz w:val="28"/>
                <w:szCs w:val="28"/>
              </w:rPr>
              <w:t>天内</w:t>
            </w:r>
          </w:p>
        </w:tc>
        <w:tc>
          <w:tcPr>
            <w:tcW w:w="1417" w:type="dxa"/>
            <w:vAlign w:val="center"/>
          </w:tcPr>
          <w:p w14:paraId="45AF462E">
            <w:pPr>
              <w:spacing w:line="360" w:lineRule="auto"/>
              <w:jc w:val="center"/>
              <w:rPr>
                <w:rFonts w:ascii="仿宋_GB2312" w:hAnsi="宋体" w:eastAsia="仿宋_GB2312"/>
                <w:sz w:val="28"/>
                <w:szCs w:val="28"/>
                <w:lang w:val="en-US"/>
              </w:rPr>
            </w:pPr>
            <w:r>
              <w:rPr>
                <w:rFonts w:hint="eastAsia" w:ascii="仿宋_GB2312" w:hAnsi="宋体" w:eastAsia="仿宋_GB2312"/>
                <w:sz w:val="28"/>
                <w:szCs w:val="28"/>
                <w:lang w:val="en-US"/>
              </w:rPr>
              <w:t>5%</w:t>
            </w:r>
          </w:p>
        </w:tc>
        <w:tc>
          <w:tcPr>
            <w:tcW w:w="2665" w:type="dxa"/>
            <w:vAlign w:val="center"/>
          </w:tcPr>
          <w:p w14:paraId="70242C66">
            <w:pPr>
              <w:spacing w:line="360" w:lineRule="auto"/>
              <w:jc w:val="center"/>
              <w:rPr>
                <w:rFonts w:ascii="仿宋_GB2312" w:hAnsi="宋体" w:eastAsia="仿宋_GB2312"/>
                <w:sz w:val="28"/>
                <w:szCs w:val="28"/>
              </w:rPr>
            </w:pPr>
            <w:r>
              <w:rPr>
                <w:rFonts w:hint="eastAsia" w:ascii="仿宋_GB2312" w:hAnsi="宋体" w:eastAsia="仿宋_GB2312"/>
                <w:sz w:val="28"/>
                <w:szCs w:val="28"/>
                <w:lang w:val="en-US"/>
              </w:rPr>
              <w:t>参照总合同金额百分比付款</w:t>
            </w:r>
          </w:p>
        </w:tc>
      </w:tr>
    </w:tbl>
    <w:p w14:paraId="38C5CCCD">
      <w:pPr>
        <w:snapToGrid w:val="0"/>
        <w:spacing w:line="360" w:lineRule="auto"/>
        <w:ind w:firstLine="640" w:firstLineChars="200"/>
        <w:rPr>
          <w:rFonts w:ascii="仿宋_GB2312" w:eastAsia="仿宋_GB2312"/>
          <w:sz w:val="32"/>
          <w:szCs w:val="32"/>
        </w:rPr>
      </w:pPr>
      <w:r>
        <w:rPr>
          <w:rFonts w:hint="eastAsia" w:ascii="仿宋_GB2312" w:eastAsia="仿宋_GB2312"/>
          <w:sz w:val="32"/>
          <w:szCs w:val="32"/>
        </w:rPr>
        <w:t>按照上述支付节点，监理人办理本合同阶段结算验收手续，经委托人验收合格后，监理人按照双方共同确定的监理服务费支付节点金额开具等额增值税专用发票，委托人收到发票后支付监理服务费用。</w:t>
      </w:r>
    </w:p>
    <w:p w14:paraId="174EA1F4">
      <w:pPr>
        <w:snapToGrid w:val="0"/>
        <w:spacing w:line="360" w:lineRule="auto"/>
        <w:ind w:firstLine="320" w:firstLineChars="100"/>
        <w:rPr>
          <w:rFonts w:ascii="仿宋_GB2312" w:eastAsia="仿宋_GB2312"/>
          <w:color w:val="0000FF"/>
          <w:sz w:val="32"/>
          <w:szCs w:val="32"/>
        </w:rPr>
      </w:pPr>
      <w:r>
        <w:rPr>
          <w:rFonts w:hint="eastAsia" w:ascii="仿宋_GB2312" w:eastAsia="仿宋_GB2312"/>
          <w:sz w:val="32"/>
          <w:szCs w:val="32"/>
        </w:rPr>
        <w:t>5.3缺陷责任期1年</w:t>
      </w:r>
      <w:r>
        <w:rPr>
          <w:rFonts w:hint="eastAsia" w:ascii="仿宋_GB2312" w:eastAsia="仿宋_GB2312"/>
          <w:color w:val="auto"/>
          <w:sz w:val="32"/>
          <w:szCs w:val="32"/>
        </w:rPr>
        <w:t>，自2025年度绿色矿山建设提升项目精品缺陷责任期内，监理人免费提供本工程建设内容施工缺陷整改全过程监理服务。监理人未及时提供监理服务，委托人有权选择其他有资质的监理单位代为监理，因此产生的全部监理费用由监理人承担，委托人有权优先从监理人的</w:t>
      </w:r>
      <w:r>
        <w:rPr>
          <w:rFonts w:hint="eastAsia" w:ascii="仿宋_GB2312" w:eastAsia="仿宋_GB2312"/>
          <w:color w:val="auto"/>
          <w:sz w:val="32"/>
          <w:szCs w:val="32"/>
          <w:lang w:val="en-US"/>
        </w:rPr>
        <w:t>监理费</w:t>
      </w:r>
      <w:r>
        <w:rPr>
          <w:rFonts w:hint="eastAsia" w:ascii="仿宋_GB2312" w:eastAsia="仿宋_GB2312"/>
          <w:color w:val="auto"/>
          <w:sz w:val="32"/>
          <w:szCs w:val="32"/>
        </w:rPr>
        <w:t>中扣除，</w:t>
      </w:r>
      <w:r>
        <w:rPr>
          <w:rFonts w:hint="eastAsia" w:ascii="仿宋_GB2312" w:eastAsia="仿宋_GB2312"/>
          <w:sz w:val="32"/>
          <w:szCs w:val="32"/>
        </w:rPr>
        <w:t>不足部分由监理人补足。</w:t>
      </w:r>
    </w:p>
    <w:p w14:paraId="3EA7BA13">
      <w:pPr>
        <w:snapToGrid w:val="0"/>
        <w:spacing w:line="360" w:lineRule="auto"/>
        <w:ind w:firstLine="320" w:firstLineChars="100"/>
        <w:rPr>
          <w:rFonts w:ascii="仿宋_GB2312" w:eastAsia="仿宋_GB2312"/>
          <w:sz w:val="32"/>
          <w:szCs w:val="32"/>
        </w:rPr>
      </w:pPr>
      <w:r>
        <w:rPr>
          <w:rFonts w:hint="eastAsia" w:ascii="仿宋_GB2312" w:eastAsia="仿宋_GB2312"/>
          <w:sz w:val="32"/>
          <w:szCs w:val="32"/>
        </w:rPr>
        <w:t>5.4 延期服务监理费的计算：</w:t>
      </w:r>
    </w:p>
    <w:p w14:paraId="439A39BA">
      <w:pPr>
        <w:snapToGrid w:val="0"/>
        <w:spacing w:line="360" w:lineRule="auto"/>
        <w:ind w:firstLine="640" w:firstLineChars="200"/>
        <w:rPr>
          <w:rFonts w:ascii="仿宋_GB2312" w:hAnsi="宋体" w:eastAsia="仿宋_GB2312"/>
          <w:sz w:val="32"/>
          <w:szCs w:val="32"/>
          <w:u w:val="single"/>
        </w:rPr>
      </w:pPr>
      <w:r>
        <w:rPr>
          <w:rFonts w:hint="eastAsia" w:ascii="仿宋_GB2312" w:hAnsi="宋体" w:eastAsia="仿宋_GB2312"/>
          <w:sz w:val="32"/>
          <w:szCs w:val="32"/>
          <w:u w:val="single"/>
        </w:rPr>
        <w:t>委托人只支付工程施工期延误三个月后的监理服务费，总工期延期三个月内（含三个月）不予支付。工程施工工期延误监理服务费=（本工程中标监理费÷监理计划工期（天））×工程延误三个月以上的时间（天）。</w:t>
      </w:r>
    </w:p>
    <w:p w14:paraId="0EA571B6">
      <w:pPr>
        <w:snapToGrid w:val="0"/>
        <w:spacing w:line="360" w:lineRule="auto"/>
        <w:rPr>
          <w:rFonts w:ascii="仿宋_GB2312" w:hAnsi="黑体" w:eastAsia="仿宋_GB2312"/>
          <w:b/>
          <w:bCs/>
          <w:color w:val="FF0000"/>
          <w:sz w:val="32"/>
          <w:szCs w:val="32"/>
        </w:rPr>
      </w:pPr>
      <w:r>
        <w:rPr>
          <w:rFonts w:hint="eastAsia" w:ascii="仿宋_GB2312" w:hAnsi="黑体" w:eastAsia="仿宋_GB2312"/>
          <w:bCs/>
          <w:sz w:val="32"/>
          <w:szCs w:val="32"/>
        </w:rPr>
        <w:t>6</w:t>
      </w:r>
      <w:r>
        <w:rPr>
          <w:rFonts w:hint="eastAsia" w:ascii="仿宋_GB2312" w:hAnsi="黑体" w:eastAsia="仿宋_GB2312"/>
          <w:b/>
          <w:bCs/>
          <w:sz w:val="32"/>
          <w:szCs w:val="32"/>
        </w:rPr>
        <w:t>. 合同生效、变更、暂停、解除与终止</w:t>
      </w:r>
    </w:p>
    <w:p w14:paraId="7C07FE1F">
      <w:pPr>
        <w:adjustRightInd w:val="0"/>
        <w:snapToGrid w:val="0"/>
        <w:spacing w:line="360" w:lineRule="auto"/>
        <w:ind w:firstLine="320" w:firstLineChars="100"/>
        <w:rPr>
          <w:rFonts w:ascii="仿宋_GB2312" w:eastAsia="仿宋_GB2312"/>
          <w:sz w:val="32"/>
          <w:szCs w:val="32"/>
        </w:rPr>
      </w:pPr>
      <w:r>
        <w:rPr>
          <w:rFonts w:hint="eastAsia" w:ascii="仿宋_GB2312" w:eastAsia="仿宋_GB2312"/>
          <w:sz w:val="32"/>
          <w:szCs w:val="32"/>
        </w:rPr>
        <w:t>6.1 生效</w:t>
      </w:r>
    </w:p>
    <w:p w14:paraId="59ACF581">
      <w:pPr>
        <w:adjustRightInd w:val="0"/>
        <w:snapToGrid w:val="0"/>
        <w:spacing w:line="360" w:lineRule="auto"/>
        <w:ind w:firstLine="480"/>
        <w:rPr>
          <w:rFonts w:ascii="仿宋_GB2312" w:hAnsi="宋体" w:eastAsia="仿宋_GB2312"/>
        </w:rPr>
      </w:pPr>
      <w:r>
        <w:rPr>
          <w:rFonts w:hint="eastAsia" w:ascii="仿宋_GB2312" w:hAnsi="宋体" w:eastAsia="仿宋_GB2312"/>
          <w:sz w:val="32"/>
          <w:szCs w:val="32"/>
        </w:rPr>
        <w:t>本合同生效条件：</w:t>
      </w:r>
      <w:r>
        <w:rPr>
          <w:rFonts w:hint="eastAsia" w:ascii="仿宋_GB2312" w:hAnsi="宋体" w:eastAsia="仿宋_GB2312"/>
          <w:sz w:val="32"/>
          <w:szCs w:val="32"/>
          <w:u w:val="single"/>
        </w:rPr>
        <w:t>自双方法定代表人或其授权的委托代理人签字并盖公章后生效。</w:t>
      </w:r>
    </w:p>
    <w:p w14:paraId="5B5334A5">
      <w:pPr>
        <w:snapToGrid w:val="0"/>
        <w:spacing w:line="360" w:lineRule="auto"/>
        <w:rPr>
          <w:rFonts w:ascii="仿宋_GB2312" w:hAnsi="宋体" w:eastAsia="仿宋_GB2312"/>
          <w:sz w:val="32"/>
          <w:szCs w:val="32"/>
        </w:rPr>
      </w:pPr>
      <w:r>
        <w:rPr>
          <w:rFonts w:hint="eastAsia" w:ascii="仿宋_GB2312" w:hAnsi="黑体" w:eastAsia="仿宋_GB2312"/>
          <w:b/>
          <w:bCs/>
          <w:sz w:val="32"/>
          <w:szCs w:val="32"/>
        </w:rPr>
        <w:t>7. 争议解决</w:t>
      </w:r>
    </w:p>
    <w:p w14:paraId="22179587">
      <w:pPr>
        <w:adjustRightInd w:val="0"/>
        <w:snapToGrid w:val="0"/>
        <w:spacing w:line="360" w:lineRule="auto"/>
        <w:ind w:firstLine="640" w:firstLineChars="200"/>
        <w:rPr>
          <w:rFonts w:ascii="仿宋_GB2312" w:hAnsi="BatangChe" w:eastAsia="仿宋_GB2312"/>
          <w:sz w:val="32"/>
          <w:szCs w:val="32"/>
        </w:rPr>
      </w:pPr>
    </w:p>
    <w:p w14:paraId="7DD031FB">
      <w:pPr>
        <w:adjustRightInd w:val="0"/>
        <w:snapToGrid w:val="0"/>
        <w:spacing w:line="360" w:lineRule="auto"/>
        <w:ind w:firstLine="640" w:firstLineChars="200"/>
        <w:rPr>
          <w:rFonts w:ascii="仿宋_GB2312" w:hAnsi="BatangChe" w:eastAsia="仿宋_GB2312"/>
          <w:sz w:val="32"/>
          <w:szCs w:val="32"/>
        </w:rPr>
      </w:pPr>
      <w:r>
        <w:rPr>
          <w:rFonts w:hint="eastAsia" w:ascii="仿宋_GB2312" w:hAnsi="BatangChe" w:eastAsia="仿宋_GB2312"/>
          <w:sz w:val="32"/>
          <w:szCs w:val="32"/>
        </w:rPr>
        <w:t>合同</w:t>
      </w:r>
      <w:r>
        <w:rPr>
          <w:rFonts w:hint="eastAsia" w:ascii="仿宋_GB2312" w:hAnsi="宋体" w:eastAsia="仿宋_GB2312"/>
          <w:sz w:val="32"/>
          <w:szCs w:val="32"/>
        </w:rPr>
        <w:t>争议</w:t>
      </w:r>
      <w:r>
        <w:rPr>
          <w:rFonts w:hint="eastAsia" w:ascii="仿宋_GB2312" w:hAnsi="BatangChe" w:eastAsia="仿宋_GB2312"/>
          <w:sz w:val="32"/>
          <w:szCs w:val="32"/>
        </w:rPr>
        <w:t>的最</w:t>
      </w:r>
      <w:r>
        <w:rPr>
          <w:rFonts w:hint="eastAsia" w:ascii="仿宋_GB2312" w:hAnsi="宋体" w:eastAsia="仿宋_GB2312"/>
          <w:sz w:val="32"/>
          <w:szCs w:val="32"/>
        </w:rPr>
        <w:t>终</w:t>
      </w:r>
      <w:r>
        <w:rPr>
          <w:rFonts w:hint="eastAsia" w:ascii="仿宋_GB2312" w:hAnsi="BatangChe" w:eastAsia="仿宋_GB2312"/>
          <w:sz w:val="32"/>
          <w:szCs w:val="32"/>
        </w:rPr>
        <w:t>解</w:t>
      </w:r>
      <w:r>
        <w:rPr>
          <w:rFonts w:hint="eastAsia" w:ascii="仿宋_GB2312" w:hAnsi="宋体" w:eastAsia="仿宋_GB2312"/>
          <w:sz w:val="32"/>
          <w:szCs w:val="32"/>
        </w:rPr>
        <w:t>决</w:t>
      </w:r>
      <w:r>
        <w:rPr>
          <w:rFonts w:hint="eastAsia" w:ascii="仿宋_GB2312" w:hAnsi="BatangChe" w:eastAsia="仿宋_GB2312"/>
          <w:sz w:val="32"/>
          <w:szCs w:val="32"/>
        </w:rPr>
        <w:t>方式</w:t>
      </w:r>
      <w:r>
        <w:rPr>
          <w:rFonts w:hint="eastAsia" w:ascii="仿宋_GB2312" w:hAnsi="宋体" w:eastAsia="仿宋_GB2312"/>
          <w:sz w:val="32"/>
          <w:szCs w:val="32"/>
        </w:rPr>
        <w:t>为</w:t>
      </w:r>
      <w:r>
        <w:rPr>
          <w:rFonts w:hint="eastAsia" w:ascii="仿宋_GB2312" w:hAnsi="BatangChe" w:eastAsia="仿宋_GB2312"/>
          <w:sz w:val="32"/>
          <w:szCs w:val="32"/>
        </w:rPr>
        <w:t>下列方式：向</w:t>
      </w:r>
      <w:r>
        <w:rPr>
          <w:rFonts w:hint="eastAsia" w:ascii="仿宋_GB2312" w:hAnsi="BatangChe" w:eastAsia="仿宋_GB2312"/>
          <w:sz w:val="32"/>
          <w:szCs w:val="32"/>
          <w:u w:val="single"/>
        </w:rPr>
        <w:t xml:space="preserve"> </w:t>
      </w:r>
      <w:r>
        <w:rPr>
          <w:rFonts w:hint="eastAsia" w:ascii="仿宋_GB2312" w:hAnsi="BatangChe" w:eastAsia="仿宋_GB2312"/>
          <w:sz w:val="32"/>
          <w:szCs w:val="32"/>
          <w:u w:val="single"/>
          <w:lang w:val="en-US"/>
        </w:rPr>
        <w:t>章丘区</w:t>
      </w:r>
      <w:r>
        <w:rPr>
          <w:rFonts w:hint="eastAsia" w:ascii="仿宋_GB2312" w:hAnsi="BatangChe" w:eastAsia="仿宋_GB2312"/>
          <w:sz w:val="32"/>
          <w:szCs w:val="32"/>
          <w:u w:val="single"/>
        </w:rPr>
        <w:t xml:space="preserve"> </w:t>
      </w:r>
      <w:r>
        <w:rPr>
          <w:rFonts w:hint="eastAsia" w:ascii="仿宋_GB2312" w:hAnsi="BatangChe" w:eastAsia="仿宋_GB2312"/>
          <w:sz w:val="32"/>
          <w:szCs w:val="32"/>
        </w:rPr>
        <w:t>人民法院提起</w:t>
      </w:r>
      <w:r>
        <w:rPr>
          <w:rFonts w:hint="eastAsia" w:ascii="仿宋_GB2312" w:hAnsi="宋体" w:eastAsia="仿宋_GB2312"/>
          <w:sz w:val="32"/>
          <w:szCs w:val="32"/>
        </w:rPr>
        <w:t>诉讼。</w:t>
      </w:r>
    </w:p>
    <w:p w14:paraId="371A7780">
      <w:pPr>
        <w:adjustRightInd w:val="0"/>
        <w:snapToGrid w:val="0"/>
        <w:spacing w:line="360" w:lineRule="auto"/>
        <w:rPr>
          <w:rFonts w:ascii="仿宋_GB2312" w:hAnsi="黑体" w:eastAsia="仿宋_GB2312"/>
          <w:b/>
          <w:bCs/>
          <w:sz w:val="32"/>
          <w:szCs w:val="32"/>
        </w:rPr>
      </w:pPr>
      <w:r>
        <w:rPr>
          <w:rFonts w:hint="eastAsia" w:ascii="仿宋_GB2312" w:eastAsia="仿宋_GB2312"/>
          <w:b/>
          <w:bCs/>
          <w:sz w:val="32"/>
          <w:szCs w:val="32"/>
        </w:rPr>
        <w:t>8</w:t>
      </w:r>
      <w:r>
        <w:rPr>
          <w:rFonts w:hint="eastAsia" w:ascii="仿宋_GB2312" w:hAnsi="黑体" w:eastAsia="仿宋_GB2312"/>
          <w:b/>
          <w:bCs/>
          <w:sz w:val="32"/>
          <w:szCs w:val="32"/>
        </w:rPr>
        <w:t>. 其他</w:t>
      </w:r>
    </w:p>
    <w:p w14:paraId="0D673328">
      <w:pPr>
        <w:adjustRightInd w:val="0"/>
        <w:snapToGrid w:val="0"/>
        <w:spacing w:line="360" w:lineRule="auto"/>
        <w:rPr>
          <w:rFonts w:ascii="仿宋_GB2312" w:hAnsi="黑体" w:eastAsia="仿宋_GB2312"/>
          <w:bCs/>
          <w:sz w:val="32"/>
          <w:szCs w:val="32"/>
        </w:rPr>
      </w:pPr>
      <w:r>
        <w:rPr>
          <w:rFonts w:hint="eastAsia" w:ascii="仿宋_GB2312" w:hAnsi="黑体" w:eastAsia="仿宋_GB2312"/>
          <w:b/>
          <w:bCs/>
          <w:sz w:val="32"/>
          <w:szCs w:val="32"/>
        </w:rPr>
        <w:t xml:space="preserve">  </w:t>
      </w:r>
      <w:r>
        <w:rPr>
          <w:rFonts w:hint="eastAsia" w:ascii="仿宋_GB2312" w:hAnsi="黑体" w:eastAsia="仿宋_GB2312"/>
          <w:bCs/>
          <w:sz w:val="32"/>
          <w:szCs w:val="32"/>
        </w:rPr>
        <w:t>8.1 检测费用</w:t>
      </w:r>
    </w:p>
    <w:p w14:paraId="4B224E36">
      <w:pPr>
        <w:adjustRightInd w:val="0"/>
        <w:snapToGrid w:val="0"/>
        <w:spacing w:line="360" w:lineRule="auto"/>
        <w:rPr>
          <w:rFonts w:ascii="仿宋_GB2312" w:hAnsi="黑体" w:eastAsia="仿宋_GB2312"/>
          <w:bCs/>
          <w:sz w:val="32"/>
          <w:szCs w:val="32"/>
        </w:rPr>
      </w:pPr>
      <w:r>
        <w:rPr>
          <w:rFonts w:hint="eastAsia" w:ascii="仿宋_GB2312" w:hAnsi="黑体" w:eastAsia="仿宋_GB2312"/>
          <w:bCs/>
          <w:sz w:val="32"/>
          <w:szCs w:val="32"/>
        </w:rPr>
        <w:t xml:space="preserve">    委托人应在检测工作完成后</w:t>
      </w:r>
      <w:r>
        <w:rPr>
          <w:rFonts w:hint="eastAsia" w:ascii="仿宋_GB2312" w:eastAsia="仿宋_GB2312"/>
          <w:sz w:val="32"/>
          <w:szCs w:val="32"/>
          <w:u w:val="single"/>
        </w:rPr>
        <w:t xml:space="preserve"> </w:t>
      </w:r>
      <w:r>
        <w:rPr>
          <w:rFonts w:hint="eastAsia" w:ascii="仿宋_GB2312" w:eastAsia="仿宋_GB2312"/>
          <w:sz w:val="32"/>
          <w:szCs w:val="32"/>
          <w:u w:val="single"/>
          <w:lang w:val="en-US"/>
        </w:rPr>
        <w:t>/</w:t>
      </w:r>
      <w:r>
        <w:rPr>
          <w:rFonts w:hint="eastAsia" w:ascii="仿宋_GB2312" w:eastAsia="仿宋_GB2312"/>
          <w:sz w:val="32"/>
          <w:szCs w:val="32"/>
          <w:u w:val="single"/>
        </w:rPr>
        <w:t xml:space="preserve"> </w:t>
      </w:r>
      <w:r>
        <w:rPr>
          <w:rFonts w:hint="eastAsia" w:ascii="仿宋_GB2312" w:hAnsi="黑体" w:eastAsia="仿宋_GB2312"/>
          <w:bCs/>
          <w:sz w:val="32"/>
          <w:szCs w:val="32"/>
        </w:rPr>
        <w:t>天内支付检测费用。</w:t>
      </w:r>
    </w:p>
    <w:p w14:paraId="7E1F4ECC">
      <w:pPr>
        <w:adjustRightInd w:val="0"/>
        <w:snapToGrid w:val="0"/>
        <w:spacing w:line="360" w:lineRule="auto"/>
        <w:rPr>
          <w:rFonts w:ascii="仿宋_GB2312" w:hAnsi="黑体" w:eastAsia="仿宋_GB2312"/>
          <w:bCs/>
          <w:sz w:val="32"/>
          <w:szCs w:val="32"/>
        </w:rPr>
      </w:pPr>
      <w:r>
        <w:rPr>
          <w:rFonts w:hint="eastAsia" w:ascii="仿宋_GB2312" w:hAnsi="黑体" w:eastAsia="仿宋_GB2312"/>
          <w:bCs/>
          <w:sz w:val="32"/>
          <w:szCs w:val="32"/>
        </w:rPr>
        <w:t xml:space="preserve">  8.2 咨询费用</w:t>
      </w:r>
    </w:p>
    <w:p w14:paraId="121ED881">
      <w:pPr>
        <w:adjustRightInd w:val="0"/>
        <w:snapToGrid w:val="0"/>
        <w:spacing w:line="360" w:lineRule="auto"/>
        <w:rPr>
          <w:rFonts w:ascii="仿宋_GB2312" w:hAnsi="黑体" w:eastAsia="仿宋_GB2312"/>
          <w:bCs/>
          <w:sz w:val="32"/>
          <w:szCs w:val="32"/>
        </w:rPr>
      </w:pPr>
      <w:r>
        <w:rPr>
          <w:rFonts w:hint="eastAsia" w:ascii="仿宋_GB2312" w:hAnsi="黑体" w:eastAsia="仿宋_GB2312"/>
          <w:bCs/>
          <w:sz w:val="32"/>
          <w:szCs w:val="32"/>
        </w:rPr>
        <w:t xml:space="preserve">    委托人应在咨询工作完成后</w:t>
      </w:r>
      <w:r>
        <w:rPr>
          <w:rFonts w:hint="eastAsia" w:ascii="仿宋_GB2312" w:eastAsia="仿宋_GB2312"/>
          <w:sz w:val="32"/>
          <w:szCs w:val="32"/>
          <w:u w:val="single"/>
        </w:rPr>
        <w:t xml:space="preserve"> </w:t>
      </w:r>
      <w:r>
        <w:rPr>
          <w:rFonts w:hint="eastAsia" w:ascii="仿宋_GB2312" w:eastAsia="仿宋_GB2312"/>
          <w:sz w:val="32"/>
          <w:szCs w:val="32"/>
          <w:u w:val="single"/>
          <w:lang w:val="en-US"/>
        </w:rPr>
        <w:t>/</w:t>
      </w:r>
      <w:r>
        <w:rPr>
          <w:rFonts w:hint="eastAsia" w:ascii="仿宋_GB2312" w:eastAsia="仿宋_GB2312"/>
          <w:sz w:val="32"/>
          <w:szCs w:val="32"/>
          <w:u w:val="single"/>
        </w:rPr>
        <w:t xml:space="preserve"> </w:t>
      </w:r>
      <w:r>
        <w:rPr>
          <w:rFonts w:hint="eastAsia" w:ascii="仿宋_GB2312" w:hAnsi="黑体" w:eastAsia="仿宋_GB2312"/>
          <w:bCs/>
          <w:sz w:val="32"/>
          <w:szCs w:val="32"/>
        </w:rPr>
        <w:t>天内支付咨询费用。</w:t>
      </w:r>
    </w:p>
    <w:p w14:paraId="44649206">
      <w:pPr>
        <w:snapToGrid w:val="0"/>
        <w:spacing w:line="360" w:lineRule="auto"/>
        <w:ind w:firstLine="313" w:firstLineChars="98"/>
        <w:rPr>
          <w:rFonts w:ascii="仿宋_GB2312" w:eastAsia="仿宋_GB2312"/>
          <w:sz w:val="32"/>
          <w:szCs w:val="32"/>
        </w:rPr>
      </w:pPr>
      <w:r>
        <w:rPr>
          <w:rFonts w:hint="eastAsia" w:ascii="仿宋_GB2312" w:eastAsia="仿宋_GB2312"/>
          <w:sz w:val="32"/>
          <w:szCs w:val="32"/>
        </w:rPr>
        <w:t>8.3 奖励</w:t>
      </w:r>
    </w:p>
    <w:p w14:paraId="6142BCC1">
      <w:pPr>
        <w:snapToGrid w:val="0"/>
        <w:spacing w:line="360" w:lineRule="auto"/>
        <w:ind w:firstLine="640" w:firstLineChars="200"/>
        <w:rPr>
          <w:rFonts w:ascii="仿宋_GB2312" w:eastAsia="仿宋_GB2312"/>
          <w:sz w:val="32"/>
          <w:szCs w:val="32"/>
        </w:rPr>
      </w:pPr>
      <w:r>
        <w:rPr>
          <w:rFonts w:hint="eastAsia" w:ascii="仿宋_GB2312" w:hAnsi="宋体" w:eastAsia="仿宋_GB2312"/>
          <w:sz w:val="32"/>
          <w:szCs w:val="32"/>
        </w:rPr>
        <w:t>合理化建议的</w:t>
      </w:r>
      <w:r>
        <w:rPr>
          <w:rFonts w:hint="eastAsia" w:ascii="仿宋_GB2312" w:eastAsia="仿宋_GB2312"/>
          <w:sz w:val="32"/>
          <w:szCs w:val="32"/>
        </w:rPr>
        <w:t>奖励金额</w:t>
      </w:r>
      <w:r>
        <w:rPr>
          <w:rFonts w:hint="eastAsia" w:ascii="仿宋_GB2312" w:hAnsi="宋体" w:eastAsia="仿宋_GB2312"/>
          <w:sz w:val="32"/>
          <w:szCs w:val="32"/>
        </w:rPr>
        <w:t>按下列方法确定为：</w:t>
      </w:r>
    </w:p>
    <w:p w14:paraId="58502A61">
      <w:pPr>
        <w:snapToGrid w:val="0"/>
        <w:spacing w:line="360" w:lineRule="auto"/>
        <w:ind w:firstLine="640" w:firstLineChars="200"/>
        <w:rPr>
          <w:rFonts w:ascii="仿宋_GB2312" w:eastAsia="仿宋_GB2312"/>
          <w:sz w:val="32"/>
          <w:szCs w:val="32"/>
        </w:rPr>
      </w:pPr>
      <w:r>
        <w:rPr>
          <w:rFonts w:hint="eastAsia" w:ascii="仿宋_GB2312" w:hAnsi="宋体" w:eastAsia="仿宋_GB2312"/>
          <w:sz w:val="32"/>
          <w:szCs w:val="32"/>
        </w:rPr>
        <w:t>奖励金额＝工程投资节省额×</w:t>
      </w:r>
      <w:r>
        <w:rPr>
          <w:rFonts w:hint="eastAsia" w:ascii="仿宋_GB2312" w:eastAsia="仿宋_GB2312"/>
          <w:sz w:val="32"/>
          <w:szCs w:val="32"/>
        </w:rPr>
        <w:t>奖励金额的比率</w:t>
      </w:r>
      <w:r>
        <w:rPr>
          <w:rFonts w:hint="eastAsia" w:ascii="仿宋_GB2312" w:hAnsi="宋体" w:eastAsia="仿宋_GB2312"/>
          <w:sz w:val="32"/>
          <w:szCs w:val="32"/>
        </w:rPr>
        <w:t>；</w:t>
      </w:r>
    </w:p>
    <w:p w14:paraId="1676A528">
      <w:pPr>
        <w:snapToGrid w:val="0"/>
        <w:spacing w:line="360" w:lineRule="auto"/>
        <w:ind w:firstLine="640" w:firstLineChars="200"/>
        <w:rPr>
          <w:rFonts w:ascii="仿宋_GB2312" w:eastAsia="仿宋_GB2312"/>
          <w:sz w:val="32"/>
          <w:szCs w:val="32"/>
        </w:rPr>
      </w:pPr>
      <w:r>
        <w:rPr>
          <w:rFonts w:hint="eastAsia" w:ascii="仿宋_GB2312" w:eastAsia="仿宋_GB2312"/>
          <w:sz w:val="32"/>
          <w:szCs w:val="32"/>
        </w:rPr>
        <w:t>奖励金额的比率为</w:t>
      </w:r>
      <w:r>
        <w:rPr>
          <w:rFonts w:hint="eastAsia" w:ascii="仿宋_GB2312" w:eastAsia="仿宋_GB2312"/>
          <w:sz w:val="32"/>
          <w:szCs w:val="32"/>
          <w:u w:val="single"/>
        </w:rPr>
        <w:t xml:space="preserve"> </w:t>
      </w:r>
      <w:r>
        <w:rPr>
          <w:rFonts w:ascii="仿宋_GB2312" w:eastAsia="仿宋_GB2312"/>
          <w:sz w:val="32"/>
          <w:szCs w:val="32"/>
          <w:u w:val="single"/>
        </w:rPr>
        <w:t>/</w:t>
      </w:r>
      <w:r>
        <w:rPr>
          <w:rFonts w:hint="eastAsia" w:ascii="仿宋_GB2312" w:eastAsia="仿宋_GB2312"/>
          <w:sz w:val="32"/>
          <w:szCs w:val="32"/>
          <w:u w:val="single"/>
        </w:rPr>
        <w:t xml:space="preserve"> </w:t>
      </w:r>
      <w:r>
        <w:rPr>
          <w:rFonts w:hint="eastAsia" w:ascii="仿宋_GB2312" w:eastAsia="仿宋_GB2312"/>
          <w:sz w:val="32"/>
          <w:szCs w:val="32"/>
        </w:rPr>
        <w:t>%。</w:t>
      </w:r>
    </w:p>
    <w:p w14:paraId="60AAA1CE">
      <w:pPr>
        <w:adjustRightInd w:val="0"/>
        <w:snapToGrid w:val="0"/>
        <w:spacing w:line="360" w:lineRule="auto"/>
        <w:ind w:firstLine="313" w:firstLineChars="98"/>
        <w:rPr>
          <w:rFonts w:ascii="仿宋_GB2312" w:eastAsia="仿宋_GB2312"/>
          <w:sz w:val="32"/>
          <w:szCs w:val="32"/>
        </w:rPr>
      </w:pPr>
      <w:r>
        <w:rPr>
          <w:rFonts w:hint="eastAsia" w:ascii="仿宋_GB2312" w:eastAsia="仿宋_GB2312"/>
          <w:sz w:val="32"/>
          <w:szCs w:val="32"/>
        </w:rPr>
        <w:t xml:space="preserve">8.4 </w:t>
      </w:r>
      <w:r>
        <w:rPr>
          <w:rFonts w:hint="eastAsia" w:ascii="仿宋_GB2312" w:hAnsi="宋体" w:eastAsia="仿宋_GB2312"/>
          <w:sz w:val="32"/>
          <w:szCs w:val="32"/>
        </w:rPr>
        <w:t>保密</w:t>
      </w:r>
    </w:p>
    <w:p w14:paraId="0D0E5779">
      <w:pPr>
        <w:adjustRightInd w:val="0"/>
        <w:snapToGrid w:val="0"/>
        <w:spacing w:line="360" w:lineRule="auto"/>
        <w:ind w:firstLine="640" w:firstLineChars="200"/>
        <w:rPr>
          <w:rFonts w:ascii="仿宋_GB2312" w:hAnsi="宋体" w:eastAsia="仿宋_GB2312"/>
          <w:u w:val="single"/>
        </w:rPr>
      </w:pPr>
      <w:r>
        <w:rPr>
          <w:rFonts w:hint="eastAsia" w:ascii="仿宋_GB2312" w:hAnsi="宋体" w:eastAsia="仿宋_GB2312"/>
          <w:sz w:val="32"/>
          <w:szCs w:val="32"/>
        </w:rPr>
        <w:t>委托人申明的保密事项和期限：</w:t>
      </w:r>
      <w:r>
        <w:rPr>
          <w:rFonts w:hint="eastAsia" w:ascii="仿宋_GB2312" w:hAnsi="宋体" w:eastAsia="仿宋_GB2312"/>
          <w:u w:val="single"/>
          <w:lang w:val="en-US"/>
        </w:rPr>
        <w:t>执行“通用条款”</w:t>
      </w:r>
      <w:r>
        <w:rPr>
          <w:rFonts w:hint="eastAsia" w:ascii="仿宋_GB2312" w:hAnsi="宋体" w:eastAsia="仿宋_GB2312"/>
        </w:rPr>
        <w:t>。</w:t>
      </w:r>
    </w:p>
    <w:p w14:paraId="7A3E6531">
      <w:pPr>
        <w:adjustRightInd w:val="0"/>
        <w:snapToGrid w:val="0"/>
        <w:spacing w:line="360" w:lineRule="auto"/>
        <w:ind w:firstLine="640" w:firstLineChars="200"/>
        <w:rPr>
          <w:rFonts w:ascii="仿宋_GB2312" w:hAnsi="宋体" w:eastAsia="仿宋_GB2312"/>
          <w:u w:val="single"/>
        </w:rPr>
      </w:pPr>
      <w:r>
        <w:rPr>
          <w:rFonts w:hint="eastAsia" w:ascii="仿宋_GB2312" w:hAnsi="宋体" w:eastAsia="仿宋_GB2312"/>
          <w:sz w:val="32"/>
          <w:szCs w:val="32"/>
        </w:rPr>
        <w:t>监理人申明的保密事项和期限：</w:t>
      </w:r>
      <w:r>
        <w:rPr>
          <w:rFonts w:hint="eastAsia" w:ascii="仿宋_GB2312" w:hAnsi="宋体" w:eastAsia="仿宋_GB2312"/>
          <w:u w:val="single"/>
          <w:lang w:val="en-US"/>
        </w:rPr>
        <w:t>执行“通用条款”</w:t>
      </w:r>
      <w:r>
        <w:rPr>
          <w:rFonts w:hint="eastAsia" w:ascii="仿宋_GB2312" w:hAnsi="宋体" w:eastAsia="仿宋_GB2312"/>
        </w:rPr>
        <w:t>。</w:t>
      </w:r>
    </w:p>
    <w:p w14:paraId="46BCF765">
      <w:pPr>
        <w:adjustRightInd w:val="0"/>
        <w:snapToGrid w:val="0"/>
        <w:spacing w:line="360" w:lineRule="auto"/>
        <w:ind w:firstLine="640" w:firstLineChars="200"/>
        <w:rPr>
          <w:rFonts w:ascii="仿宋_GB2312" w:hAnsi="宋体" w:eastAsia="仿宋_GB2312"/>
          <w:u w:val="single"/>
        </w:rPr>
      </w:pPr>
      <w:r>
        <w:rPr>
          <w:rFonts w:hint="eastAsia" w:ascii="仿宋_GB2312" w:hAnsi="宋体" w:eastAsia="仿宋_GB2312"/>
          <w:sz w:val="32"/>
          <w:szCs w:val="32"/>
        </w:rPr>
        <w:t>第三方申明的保密事项和期限：</w:t>
      </w:r>
      <w:r>
        <w:rPr>
          <w:rFonts w:hint="eastAsia" w:ascii="仿宋_GB2312" w:hAnsi="宋体" w:eastAsia="仿宋_GB2312"/>
          <w:u w:val="single"/>
          <w:lang w:val="en-US"/>
        </w:rPr>
        <w:t>执行“通用条款”</w:t>
      </w:r>
      <w:r>
        <w:rPr>
          <w:rFonts w:hint="eastAsia" w:ascii="仿宋_GB2312" w:hAnsi="宋体" w:eastAsia="仿宋_GB2312"/>
        </w:rPr>
        <w:t>。</w:t>
      </w:r>
    </w:p>
    <w:p w14:paraId="5A6BBB6D">
      <w:pPr>
        <w:snapToGrid w:val="0"/>
        <w:spacing w:line="360" w:lineRule="auto"/>
        <w:ind w:firstLine="313" w:firstLineChars="98"/>
        <w:rPr>
          <w:rFonts w:ascii="仿宋_GB2312" w:hAnsi="宋体" w:eastAsia="仿宋_GB2312"/>
          <w:bCs/>
          <w:sz w:val="32"/>
          <w:szCs w:val="32"/>
        </w:rPr>
      </w:pPr>
      <w:r>
        <w:rPr>
          <w:rFonts w:hint="eastAsia" w:ascii="仿宋_GB2312" w:eastAsia="仿宋_GB2312"/>
          <w:sz w:val="32"/>
          <w:szCs w:val="32"/>
        </w:rPr>
        <w:t>8.5</w:t>
      </w:r>
      <w:r>
        <w:rPr>
          <w:rFonts w:hint="eastAsia" w:ascii="仿宋_GB2312" w:hAnsi="宋体" w:eastAsia="仿宋_GB2312"/>
          <w:bCs/>
          <w:sz w:val="32"/>
          <w:szCs w:val="32"/>
        </w:rPr>
        <w:t>著作权</w:t>
      </w:r>
    </w:p>
    <w:p w14:paraId="7202275A">
      <w:pPr>
        <w:snapToGrid w:val="0"/>
        <w:spacing w:line="360" w:lineRule="auto"/>
        <w:ind w:firstLine="640" w:firstLineChars="200"/>
        <w:rPr>
          <w:rFonts w:ascii="仿宋_GB2312" w:hAnsi="宋体" w:eastAsia="仿宋_GB2312"/>
          <w:sz w:val="32"/>
          <w:szCs w:val="32"/>
        </w:rPr>
      </w:pPr>
      <w:r>
        <w:rPr>
          <w:rFonts w:hint="eastAsia" w:ascii="仿宋_GB2312" w:hAnsi="宋体" w:eastAsia="仿宋_GB2312"/>
          <w:sz w:val="32"/>
          <w:szCs w:val="32"/>
        </w:rPr>
        <w:t>监理人在本合同履行期间及本合同终止后两年内出版涉及本工程的有关监理与相关服务的资料的限制条件：</w:t>
      </w:r>
    </w:p>
    <w:p w14:paraId="57AC90F8">
      <w:pPr>
        <w:adjustRightInd w:val="0"/>
        <w:snapToGrid w:val="0"/>
        <w:spacing w:before="120" w:beforeLines="50" w:after="120" w:afterLines="50" w:line="360" w:lineRule="auto"/>
        <w:rPr>
          <w:rFonts w:ascii="仿宋_GB2312" w:hAnsi="宋体" w:eastAsia="仿宋_GB2312"/>
        </w:rPr>
      </w:pPr>
      <w:r>
        <w:rPr>
          <w:rFonts w:hint="eastAsia" w:ascii="仿宋_GB2312" w:hAnsi="宋体" w:eastAsia="仿宋_GB2312"/>
          <w:sz w:val="32"/>
          <w:szCs w:val="32"/>
          <w:u w:val="single"/>
        </w:rPr>
        <w:t xml:space="preserve"> 禁止 </w:t>
      </w:r>
      <w:r>
        <w:rPr>
          <w:rFonts w:hint="eastAsia" w:ascii="仿宋_GB2312" w:hAnsi="宋体" w:eastAsia="仿宋_GB2312"/>
        </w:rPr>
        <w:t>。</w:t>
      </w:r>
    </w:p>
    <w:p w14:paraId="12425BE1">
      <w:pPr>
        <w:adjustRightInd w:val="0"/>
        <w:snapToGrid w:val="0"/>
        <w:spacing w:before="120" w:beforeLines="50" w:after="120" w:afterLines="50" w:line="360" w:lineRule="auto"/>
        <w:ind w:firstLine="320" w:firstLineChars="100"/>
        <w:rPr>
          <w:rFonts w:ascii="仿宋_GB2312" w:eastAsia="仿宋_GB2312"/>
          <w:sz w:val="32"/>
          <w:szCs w:val="32"/>
        </w:rPr>
      </w:pPr>
      <w:r>
        <w:rPr>
          <w:rFonts w:hint="eastAsia" w:ascii="仿宋_GB2312" w:eastAsia="仿宋_GB2312"/>
          <w:sz w:val="32"/>
          <w:szCs w:val="32"/>
        </w:rPr>
        <w:t xml:space="preserve">9. </w:t>
      </w:r>
      <w:r>
        <w:rPr>
          <w:rFonts w:hint="eastAsia" w:ascii="仿宋_GB2312" w:hAnsi="黑体" w:eastAsia="仿宋_GB2312"/>
          <w:sz w:val="32"/>
          <w:szCs w:val="32"/>
        </w:rPr>
        <w:t>补充条款</w:t>
      </w:r>
    </w:p>
    <w:p w14:paraId="16CB7BCA">
      <w:pPr>
        <w:spacing w:line="360" w:lineRule="auto"/>
        <w:ind w:firstLine="640" w:firstLineChars="200"/>
        <w:rPr>
          <w:rFonts w:ascii="仿宋_GB2312" w:hAnsi="宋体" w:eastAsia="仿宋_GB2312"/>
          <w:sz w:val="32"/>
          <w:szCs w:val="32"/>
        </w:rPr>
      </w:pPr>
      <w:r>
        <w:rPr>
          <w:rFonts w:hint="eastAsia" w:ascii="仿宋_GB2312" w:hAnsi="宋体" w:eastAsia="仿宋_GB2312"/>
          <w:sz w:val="32"/>
          <w:szCs w:val="32"/>
        </w:rPr>
        <w:t>9.1工程暂停或其他原因停工，停工期间不支付任何费用，监理人可以撤出施工现场，不得提出任何索赔。委托人按照实际监理量计算监理费用。需要复工时，监理人接到委托人通知，必须24小时内组织监理人员到达工程现场，监理人没有按照委托人要求执行的，委托人有权按监理费用报价总额每日0.1%扣减监理费用。</w:t>
      </w:r>
    </w:p>
    <w:p w14:paraId="1758BEF0">
      <w:pPr>
        <w:spacing w:line="360" w:lineRule="auto"/>
        <w:ind w:firstLine="640" w:firstLineChars="200"/>
        <w:rPr>
          <w:rFonts w:ascii="仿宋_GB2312" w:hAnsi="宋体" w:eastAsia="仿宋_GB2312"/>
          <w:sz w:val="32"/>
          <w:szCs w:val="32"/>
        </w:rPr>
      </w:pPr>
      <w:r>
        <w:rPr>
          <w:rFonts w:hint="eastAsia" w:ascii="仿宋_GB2312" w:hAnsi="宋体" w:eastAsia="仿宋_GB2312"/>
          <w:sz w:val="32"/>
          <w:szCs w:val="32"/>
        </w:rPr>
        <w:t>9.2监理人派往现场监理人员必须与投标时拟派人员一致，若总监、专业监理工程师不一致时，需事先征得委托人同意，否则，委托人有权扣罚监理方监理费的1%，若中间擅自更换总监，委托人有权扣罚监理人监理费的1%。</w:t>
      </w:r>
    </w:p>
    <w:p w14:paraId="42A1CCC3">
      <w:pPr>
        <w:spacing w:line="360" w:lineRule="auto"/>
        <w:ind w:firstLine="640" w:firstLineChars="200"/>
        <w:rPr>
          <w:rFonts w:ascii="仿宋_GB2312" w:hAnsi="宋体" w:eastAsia="仿宋_GB2312"/>
          <w:sz w:val="32"/>
          <w:szCs w:val="32"/>
        </w:rPr>
      </w:pPr>
      <w:r>
        <w:rPr>
          <w:rFonts w:hint="eastAsia" w:ascii="仿宋_GB2312" w:hAnsi="宋体" w:eastAsia="仿宋_GB2312"/>
          <w:sz w:val="32"/>
          <w:szCs w:val="32"/>
        </w:rPr>
        <w:t>9.3监理人监理组织机构专业人员必须齐全，现场专业监理工程师经委托方书面同意后，原则上不得随意更换，确需要更换时，须经委托人同意，更换的专业监理工程师要专业一致，职称一致，资历经验相当。如未经委托人同意更换项目其他专业监理工程师，将予以每人1000元的违约金处理。</w:t>
      </w:r>
    </w:p>
    <w:p w14:paraId="54392AEE">
      <w:pPr>
        <w:spacing w:line="360" w:lineRule="auto"/>
        <w:ind w:firstLine="640" w:firstLineChars="200"/>
        <w:rPr>
          <w:rFonts w:ascii="仿宋_GB2312" w:hAnsi="宋体" w:eastAsia="仿宋_GB2312"/>
          <w:sz w:val="32"/>
          <w:szCs w:val="32"/>
        </w:rPr>
      </w:pPr>
      <w:r>
        <w:rPr>
          <w:rFonts w:hint="eastAsia" w:ascii="仿宋_GB2312" w:hAnsi="宋体" w:eastAsia="仿宋_GB2312"/>
          <w:sz w:val="32"/>
          <w:szCs w:val="32"/>
        </w:rPr>
        <w:t>9.4施工期间必须保证足够监理人员在现场（包括节假日、星期天、夜班）。</w:t>
      </w:r>
    </w:p>
    <w:p w14:paraId="3030E15A">
      <w:pPr>
        <w:spacing w:line="360" w:lineRule="auto"/>
        <w:ind w:firstLine="640" w:firstLineChars="200"/>
        <w:rPr>
          <w:rFonts w:ascii="仿宋_GB2312" w:hAnsi="宋体" w:eastAsia="仿宋_GB2312"/>
          <w:sz w:val="32"/>
          <w:szCs w:val="32"/>
        </w:rPr>
      </w:pPr>
      <w:r>
        <w:rPr>
          <w:rFonts w:hint="eastAsia" w:ascii="仿宋_GB2312" w:hAnsi="宋体" w:eastAsia="仿宋_GB2312"/>
          <w:sz w:val="32"/>
          <w:szCs w:val="32"/>
        </w:rPr>
        <w:t>9.5现场监理人员请假（休假）应事先经委托人同意。</w:t>
      </w:r>
    </w:p>
    <w:p w14:paraId="5E41FAF5">
      <w:pPr>
        <w:spacing w:line="360" w:lineRule="auto"/>
        <w:ind w:firstLine="640" w:firstLineChars="200"/>
        <w:rPr>
          <w:rFonts w:ascii="仿宋_GB2312" w:hAnsi="宋体" w:eastAsia="仿宋_GB2312"/>
          <w:sz w:val="32"/>
          <w:szCs w:val="32"/>
        </w:rPr>
      </w:pPr>
      <w:r>
        <w:rPr>
          <w:rFonts w:hint="eastAsia" w:ascii="仿宋_GB2312" w:hAnsi="宋体" w:eastAsia="仿宋_GB2312"/>
          <w:sz w:val="32"/>
          <w:szCs w:val="32"/>
        </w:rPr>
        <w:t>9.6 监理人应明确见证员、专业检测测试工程师，需更换时经委托人同意。</w:t>
      </w:r>
    </w:p>
    <w:p w14:paraId="24456ADD">
      <w:pPr>
        <w:spacing w:line="360" w:lineRule="auto"/>
        <w:ind w:firstLine="640" w:firstLineChars="200"/>
        <w:rPr>
          <w:rFonts w:ascii="仿宋_GB2312" w:hAnsi="宋体" w:eastAsia="仿宋_GB2312"/>
          <w:sz w:val="32"/>
          <w:szCs w:val="32"/>
        </w:rPr>
      </w:pPr>
      <w:r>
        <w:rPr>
          <w:rFonts w:hint="eastAsia" w:ascii="仿宋_GB2312" w:hAnsi="宋体" w:eastAsia="仿宋_GB2312"/>
          <w:sz w:val="32"/>
          <w:szCs w:val="32"/>
        </w:rPr>
        <w:t>9.7总监理工程师不得兼任其他监理项目，本工程总监进场工作后，须将监理证书</w:t>
      </w:r>
      <w:r>
        <w:rPr>
          <w:rFonts w:hint="eastAsia" w:ascii="仿宋_GB2312" w:hAnsi="宋体" w:eastAsia="仿宋_GB2312"/>
          <w:sz w:val="32"/>
          <w:szCs w:val="32"/>
          <w:lang w:val="en-US"/>
        </w:rPr>
        <w:t>复印件</w:t>
      </w:r>
      <w:r>
        <w:rPr>
          <w:rFonts w:hint="eastAsia" w:ascii="仿宋_GB2312" w:hAnsi="宋体" w:eastAsia="仿宋_GB2312"/>
          <w:sz w:val="32"/>
          <w:szCs w:val="32"/>
        </w:rPr>
        <w:t>交委托人保管，待工程竣工验收合格后归还。</w:t>
      </w:r>
    </w:p>
    <w:p w14:paraId="16215C4E">
      <w:pPr>
        <w:spacing w:line="360" w:lineRule="auto"/>
        <w:ind w:firstLine="640" w:firstLineChars="200"/>
        <w:rPr>
          <w:rFonts w:ascii="仿宋_GB2312" w:hAnsi="宋体" w:eastAsia="仿宋_GB2312"/>
          <w:sz w:val="32"/>
          <w:szCs w:val="32"/>
        </w:rPr>
      </w:pPr>
      <w:r>
        <w:rPr>
          <w:rFonts w:hint="eastAsia" w:ascii="仿宋_GB2312" w:hAnsi="宋体" w:eastAsia="仿宋_GB2312"/>
          <w:sz w:val="32"/>
          <w:szCs w:val="32"/>
        </w:rPr>
        <w:t>9.8常驻监理人员应有体检表交委托人，同时年龄25岁以下、50-60岁人员合计不得超过2人（按监理工程师人员年龄要求不得大于60周岁）。</w:t>
      </w:r>
    </w:p>
    <w:p w14:paraId="18DEE2C5">
      <w:pPr>
        <w:spacing w:line="360" w:lineRule="auto"/>
        <w:ind w:firstLine="640" w:firstLineChars="200"/>
        <w:rPr>
          <w:rFonts w:ascii="仿宋_GB2312" w:hAnsi="宋体" w:eastAsia="仿宋_GB2312"/>
          <w:sz w:val="32"/>
          <w:szCs w:val="32"/>
        </w:rPr>
      </w:pPr>
      <w:r>
        <w:rPr>
          <w:rFonts w:hint="eastAsia" w:ascii="仿宋_GB2312" w:hAnsi="宋体" w:eastAsia="仿宋_GB2312"/>
          <w:sz w:val="32"/>
          <w:szCs w:val="32"/>
        </w:rPr>
        <w:t>9.9监理人员如有以下行为，委托人有权视情况给予经济处罚或要求监理人撤换：</w:t>
      </w:r>
    </w:p>
    <w:p w14:paraId="39AE6F84">
      <w:pPr>
        <w:spacing w:line="360" w:lineRule="auto"/>
        <w:ind w:firstLine="640" w:firstLineChars="200"/>
        <w:rPr>
          <w:rFonts w:ascii="仿宋_GB2312" w:hAnsi="宋体" w:eastAsia="仿宋_GB2312"/>
          <w:sz w:val="32"/>
          <w:szCs w:val="32"/>
        </w:rPr>
      </w:pPr>
      <w:r>
        <w:rPr>
          <w:rFonts w:hint="eastAsia" w:ascii="仿宋_GB2312" w:hAnsi="宋体" w:eastAsia="仿宋_GB2312"/>
          <w:sz w:val="32"/>
          <w:szCs w:val="32"/>
        </w:rPr>
        <w:t>（1）向承包人报销各种费用的；</w:t>
      </w:r>
    </w:p>
    <w:p w14:paraId="73F8ED85">
      <w:pPr>
        <w:spacing w:line="360" w:lineRule="auto"/>
        <w:ind w:firstLine="640" w:firstLineChars="200"/>
        <w:rPr>
          <w:rFonts w:ascii="仿宋_GB2312" w:hAnsi="宋体" w:eastAsia="仿宋_GB2312"/>
          <w:sz w:val="32"/>
          <w:szCs w:val="32"/>
        </w:rPr>
      </w:pPr>
      <w:r>
        <w:rPr>
          <w:rFonts w:hint="eastAsia" w:ascii="仿宋_GB2312" w:hAnsi="宋体" w:eastAsia="仿宋_GB2312"/>
          <w:sz w:val="32"/>
          <w:szCs w:val="32"/>
        </w:rPr>
        <w:t>（2）接受承包人安排的各种娱乐、旅游的；</w:t>
      </w:r>
    </w:p>
    <w:p w14:paraId="2FBD0DF7">
      <w:pPr>
        <w:spacing w:line="360" w:lineRule="auto"/>
        <w:ind w:firstLine="640" w:firstLineChars="200"/>
        <w:rPr>
          <w:rFonts w:ascii="仿宋_GB2312" w:hAnsi="宋体" w:eastAsia="仿宋_GB2312"/>
          <w:sz w:val="32"/>
          <w:szCs w:val="32"/>
        </w:rPr>
      </w:pPr>
      <w:r>
        <w:rPr>
          <w:rFonts w:hint="eastAsia" w:ascii="仿宋_GB2312" w:hAnsi="宋体" w:eastAsia="仿宋_GB2312"/>
          <w:sz w:val="32"/>
          <w:szCs w:val="32"/>
        </w:rPr>
        <w:t>（3）收受贿赂的；</w:t>
      </w:r>
    </w:p>
    <w:p w14:paraId="02CD7FF2">
      <w:pPr>
        <w:spacing w:line="360" w:lineRule="auto"/>
        <w:ind w:firstLine="640" w:firstLineChars="200"/>
        <w:rPr>
          <w:rFonts w:ascii="仿宋_GB2312" w:hAnsi="宋体" w:eastAsia="仿宋_GB2312"/>
          <w:sz w:val="32"/>
          <w:szCs w:val="32"/>
        </w:rPr>
      </w:pPr>
      <w:r>
        <w:rPr>
          <w:rFonts w:hint="eastAsia" w:ascii="仿宋_GB2312" w:hAnsi="宋体" w:eastAsia="仿宋_GB2312"/>
          <w:sz w:val="32"/>
          <w:szCs w:val="32"/>
        </w:rPr>
        <w:t>（4）吃、拿、卡、要及故意刁难施工单位的；</w:t>
      </w:r>
    </w:p>
    <w:p w14:paraId="20B217C5">
      <w:pPr>
        <w:spacing w:line="360" w:lineRule="auto"/>
        <w:ind w:firstLine="640" w:firstLineChars="200"/>
        <w:rPr>
          <w:rFonts w:ascii="仿宋_GB2312" w:hAnsi="宋体" w:eastAsia="仿宋_GB2312"/>
          <w:sz w:val="32"/>
          <w:szCs w:val="32"/>
        </w:rPr>
      </w:pPr>
      <w:r>
        <w:rPr>
          <w:rFonts w:hint="eastAsia" w:ascii="仿宋_GB2312" w:hAnsi="宋体" w:eastAsia="仿宋_GB2312"/>
          <w:sz w:val="32"/>
          <w:szCs w:val="32"/>
        </w:rPr>
        <w:t>（5）酒后上岗或工作时间酗酒的；</w:t>
      </w:r>
    </w:p>
    <w:p w14:paraId="6B46A487">
      <w:pPr>
        <w:spacing w:line="360" w:lineRule="auto"/>
        <w:ind w:firstLine="640" w:firstLineChars="200"/>
        <w:rPr>
          <w:rFonts w:ascii="仿宋_GB2312" w:hAnsi="宋体" w:eastAsia="仿宋_GB2312"/>
          <w:sz w:val="32"/>
          <w:szCs w:val="32"/>
        </w:rPr>
      </w:pPr>
      <w:r>
        <w:rPr>
          <w:rFonts w:hint="eastAsia" w:ascii="仿宋_GB2312" w:hAnsi="宋体" w:eastAsia="仿宋_GB2312"/>
          <w:sz w:val="32"/>
          <w:szCs w:val="32"/>
        </w:rPr>
        <w:t>（6）与承包人串通用虚假计量手段，损害建设单位利益的；</w:t>
      </w:r>
    </w:p>
    <w:p w14:paraId="1022B639">
      <w:pPr>
        <w:spacing w:line="360" w:lineRule="auto"/>
        <w:ind w:firstLine="640" w:firstLineChars="200"/>
        <w:rPr>
          <w:rFonts w:ascii="仿宋_GB2312" w:hAnsi="宋体" w:eastAsia="仿宋_GB2312"/>
          <w:sz w:val="32"/>
          <w:szCs w:val="32"/>
        </w:rPr>
      </w:pPr>
      <w:r>
        <w:rPr>
          <w:rFonts w:hint="eastAsia" w:ascii="仿宋_GB2312" w:hAnsi="宋体" w:eastAsia="仿宋_GB2312"/>
          <w:sz w:val="32"/>
          <w:szCs w:val="32"/>
        </w:rPr>
        <w:t>（7）向承包人提供或推荐分包人和材料供应商的；</w:t>
      </w:r>
    </w:p>
    <w:p w14:paraId="1EB560D5">
      <w:pPr>
        <w:spacing w:line="360" w:lineRule="auto"/>
        <w:ind w:firstLine="640" w:firstLineChars="200"/>
        <w:rPr>
          <w:rFonts w:ascii="仿宋_GB2312" w:hAnsi="宋体" w:eastAsia="仿宋_GB2312"/>
          <w:sz w:val="32"/>
          <w:szCs w:val="32"/>
        </w:rPr>
      </w:pPr>
      <w:r>
        <w:rPr>
          <w:rFonts w:hint="eastAsia" w:ascii="仿宋_GB2312" w:hAnsi="宋体" w:eastAsia="仿宋_GB2312"/>
          <w:sz w:val="32"/>
          <w:szCs w:val="32"/>
        </w:rPr>
        <w:t>（8）监理人员擅自脱岗，旁站效率低，见证不到位的（但未造成质量隐患或事故）；</w:t>
      </w:r>
    </w:p>
    <w:p w14:paraId="2F5080BB">
      <w:pPr>
        <w:spacing w:line="360" w:lineRule="auto"/>
        <w:ind w:firstLine="640" w:firstLineChars="200"/>
        <w:rPr>
          <w:rFonts w:ascii="仿宋_GB2312" w:hAnsi="宋体" w:eastAsia="仿宋_GB2312"/>
          <w:sz w:val="32"/>
          <w:szCs w:val="32"/>
        </w:rPr>
      </w:pPr>
      <w:r>
        <w:rPr>
          <w:rFonts w:hint="eastAsia" w:ascii="仿宋_GB2312" w:hAnsi="宋体" w:eastAsia="仿宋_GB2312"/>
          <w:sz w:val="32"/>
          <w:szCs w:val="32"/>
        </w:rPr>
        <w:t>（9）监理不到位造成较大差错，弄虚造假给予验收合格，委托人检查不合格的；</w:t>
      </w:r>
    </w:p>
    <w:p w14:paraId="3E6745FF">
      <w:pPr>
        <w:spacing w:line="360" w:lineRule="auto"/>
        <w:ind w:firstLine="640" w:firstLineChars="200"/>
        <w:rPr>
          <w:rFonts w:ascii="仿宋_GB2312" w:hAnsi="宋体" w:eastAsia="仿宋_GB2312"/>
          <w:sz w:val="32"/>
          <w:szCs w:val="32"/>
        </w:rPr>
      </w:pPr>
      <w:r>
        <w:rPr>
          <w:rFonts w:hint="eastAsia" w:ascii="仿宋_GB2312" w:hAnsi="宋体" w:eastAsia="仿宋_GB2312"/>
          <w:sz w:val="32"/>
          <w:szCs w:val="32"/>
        </w:rPr>
        <w:t>（10）不能胜任本职工作的。</w:t>
      </w:r>
    </w:p>
    <w:p w14:paraId="1AF52D18">
      <w:pPr>
        <w:spacing w:line="360" w:lineRule="auto"/>
        <w:ind w:firstLine="640" w:firstLineChars="200"/>
        <w:rPr>
          <w:rFonts w:ascii="仿宋_GB2312" w:hAnsi="宋体" w:eastAsia="仿宋_GB2312"/>
          <w:sz w:val="32"/>
          <w:szCs w:val="32"/>
        </w:rPr>
      </w:pPr>
      <w:r>
        <w:rPr>
          <w:rFonts w:hint="eastAsia" w:ascii="仿宋_GB2312" w:hAnsi="宋体" w:eastAsia="仿宋_GB2312"/>
          <w:sz w:val="32"/>
          <w:szCs w:val="32"/>
        </w:rPr>
        <w:t>9.10委托人有权对监理人的监理工作提出质疑，监理人对所提出的质疑应及时做出有利于工程施工的实质性答复。</w:t>
      </w:r>
    </w:p>
    <w:p w14:paraId="4ACFA2F2">
      <w:pPr>
        <w:spacing w:line="360" w:lineRule="auto"/>
        <w:ind w:firstLine="640" w:firstLineChars="200"/>
        <w:rPr>
          <w:rFonts w:ascii="仿宋_GB2312" w:hAnsi="宋体" w:eastAsia="仿宋_GB2312"/>
          <w:sz w:val="32"/>
          <w:szCs w:val="32"/>
        </w:rPr>
      </w:pPr>
      <w:r>
        <w:rPr>
          <w:rFonts w:hint="eastAsia" w:ascii="仿宋_GB2312" w:hAnsi="宋体" w:eastAsia="仿宋_GB2312"/>
          <w:sz w:val="32"/>
          <w:szCs w:val="32"/>
        </w:rPr>
        <w:t>9.11监理人的监理工作按委托人委托的各项内容，要及时到位，并认真勤奋的工作，对不负责任、乱指挥、工作不到位等现象造成损失的，委托人除提出警告外，视情况提出索赔，并保留撤换监理工作人员的权力，情节严重的解除合同。</w:t>
      </w:r>
    </w:p>
    <w:p w14:paraId="1AAB04B8">
      <w:pPr>
        <w:spacing w:line="360" w:lineRule="auto"/>
        <w:ind w:firstLine="640" w:firstLineChars="200"/>
        <w:rPr>
          <w:rFonts w:ascii="仿宋_GB2312" w:hAnsi="宋体" w:eastAsia="仿宋_GB2312"/>
          <w:sz w:val="32"/>
          <w:szCs w:val="32"/>
        </w:rPr>
      </w:pPr>
      <w:r>
        <w:rPr>
          <w:rFonts w:hint="eastAsia" w:ascii="仿宋_GB2312" w:hAnsi="宋体" w:eastAsia="仿宋_GB2312"/>
          <w:sz w:val="32"/>
          <w:szCs w:val="32"/>
        </w:rPr>
        <w:t>9.12委托人未经监理人同意，不得对承包人提出的属于监理人权限范围内的技术、经济等问题做出答复，否则引起一切责任由委托人承担。</w:t>
      </w:r>
    </w:p>
    <w:p w14:paraId="2DE0C26A">
      <w:pPr>
        <w:spacing w:line="360" w:lineRule="auto"/>
        <w:ind w:firstLine="640" w:firstLineChars="200"/>
        <w:rPr>
          <w:rFonts w:ascii="仿宋_GB2312" w:hAnsi="宋体" w:eastAsia="仿宋_GB2312"/>
          <w:sz w:val="32"/>
          <w:szCs w:val="32"/>
        </w:rPr>
      </w:pPr>
      <w:r>
        <w:rPr>
          <w:rFonts w:hint="eastAsia" w:ascii="仿宋_GB2312" w:hAnsi="宋体" w:eastAsia="仿宋_GB2312"/>
          <w:sz w:val="32"/>
          <w:szCs w:val="32"/>
        </w:rPr>
        <w:t>9.13 岗前培训。监理人员全部上岗前，必须全部熟悉监理合同文件及有关标准、规范和测试方法，根据工程特点，有针对性地进行培训，保证上岗人员能胜任本职工作。监理人应接受委托人对其人员组织的业务培训，其费用由监理人承担。</w:t>
      </w:r>
    </w:p>
    <w:p w14:paraId="228F1F7F">
      <w:pPr>
        <w:spacing w:line="360" w:lineRule="auto"/>
        <w:ind w:firstLine="640" w:firstLineChars="200"/>
        <w:rPr>
          <w:rFonts w:ascii="仿宋_GB2312" w:hAnsi="宋体" w:eastAsia="仿宋_GB2312"/>
          <w:sz w:val="32"/>
          <w:szCs w:val="32"/>
        </w:rPr>
      </w:pPr>
      <w:r>
        <w:rPr>
          <w:rFonts w:hint="eastAsia" w:ascii="仿宋_GB2312" w:hAnsi="宋体" w:eastAsia="仿宋_GB2312"/>
          <w:sz w:val="32"/>
          <w:szCs w:val="32"/>
        </w:rPr>
        <w:t>9.14监理人具有下列情形之一的，委托人有权选择解除本合同，委托人行使合同解除权的，应当书面通知监理人，合同自解除通知到达监理人之日起生效。监理人应当按照本合同约定承担违约责任：</w:t>
      </w:r>
    </w:p>
    <w:p w14:paraId="67B80D72">
      <w:pPr>
        <w:spacing w:line="360" w:lineRule="auto"/>
        <w:ind w:firstLine="640" w:firstLineChars="200"/>
        <w:rPr>
          <w:rFonts w:ascii="仿宋_GB2312" w:hAnsi="宋体" w:eastAsia="仿宋_GB2312"/>
          <w:sz w:val="32"/>
          <w:szCs w:val="32"/>
        </w:rPr>
      </w:pPr>
      <w:r>
        <w:rPr>
          <w:rFonts w:hint="eastAsia" w:ascii="仿宋_GB2312" w:hAnsi="宋体" w:eastAsia="仿宋_GB2312"/>
          <w:sz w:val="32"/>
          <w:szCs w:val="32"/>
        </w:rPr>
        <w:t>（1）委托人有证据证明监理人不具备履行本合同的能力；</w:t>
      </w:r>
    </w:p>
    <w:p w14:paraId="1AE8C51A">
      <w:pPr>
        <w:spacing w:line="360" w:lineRule="auto"/>
        <w:ind w:firstLine="640" w:firstLineChars="200"/>
        <w:rPr>
          <w:rFonts w:ascii="仿宋_GB2312" w:hAnsi="宋体" w:eastAsia="仿宋_GB2312"/>
          <w:sz w:val="32"/>
          <w:szCs w:val="32"/>
        </w:rPr>
      </w:pPr>
      <w:r>
        <w:rPr>
          <w:rFonts w:hint="eastAsia" w:ascii="仿宋_GB2312" w:hAnsi="宋体" w:eastAsia="仿宋_GB2312"/>
          <w:sz w:val="32"/>
          <w:szCs w:val="32"/>
        </w:rPr>
        <w:t>（2）监理人在投标时提供虚假材料；</w:t>
      </w:r>
    </w:p>
    <w:p w14:paraId="6EDE457E">
      <w:pPr>
        <w:spacing w:line="360" w:lineRule="auto"/>
        <w:ind w:firstLine="640" w:firstLineChars="200"/>
        <w:rPr>
          <w:rFonts w:ascii="仿宋_GB2312" w:hAnsi="宋体" w:eastAsia="仿宋_GB2312"/>
          <w:sz w:val="32"/>
          <w:szCs w:val="32"/>
        </w:rPr>
      </w:pPr>
      <w:r>
        <w:rPr>
          <w:rFonts w:hint="eastAsia" w:ascii="仿宋_GB2312" w:hAnsi="宋体" w:eastAsia="仿宋_GB2312"/>
          <w:sz w:val="32"/>
          <w:szCs w:val="32"/>
        </w:rPr>
        <w:t>（3）监理人员未经委托人同意擅自撤离工程施工现场超过3次，或监理人擅自更换总监理工程师、专业负责人或总监理工程师、专业负责人仅在本项目挂职的；</w:t>
      </w:r>
    </w:p>
    <w:p w14:paraId="601CE4D0">
      <w:pPr>
        <w:spacing w:line="360" w:lineRule="auto"/>
        <w:ind w:firstLine="640" w:firstLineChars="200"/>
        <w:rPr>
          <w:rFonts w:ascii="仿宋_GB2312" w:hAnsi="宋体" w:eastAsia="仿宋_GB2312"/>
          <w:sz w:val="32"/>
          <w:szCs w:val="32"/>
        </w:rPr>
      </w:pPr>
      <w:r>
        <w:rPr>
          <w:rFonts w:hint="eastAsia" w:ascii="仿宋_GB2312" w:hAnsi="宋体" w:eastAsia="仿宋_GB2312"/>
          <w:sz w:val="32"/>
          <w:szCs w:val="32"/>
        </w:rPr>
        <w:t>（4）监理人未按本合同约定履行监理职责与义务，导致工程发生较大质量责任事故或发生安全责任事故；</w:t>
      </w:r>
    </w:p>
    <w:p w14:paraId="4F82EB15">
      <w:pPr>
        <w:spacing w:line="360" w:lineRule="auto"/>
        <w:ind w:firstLine="640" w:firstLineChars="200"/>
        <w:rPr>
          <w:rFonts w:ascii="仿宋_GB2312" w:hAnsi="宋体" w:eastAsia="仿宋_GB2312"/>
          <w:sz w:val="32"/>
          <w:szCs w:val="32"/>
        </w:rPr>
      </w:pPr>
      <w:r>
        <w:rPr>
          <w:rFonts w:hint="eastAsia" w:ascii="仿宋_GB2312" w:hAnsi="宋体" w:eastAsia="仿宋_GB2312"/>
          <w:sz w:val="32"/>
          <w:szCs w:val="32"/>
        </w:rPr>
        <w:t>（5）监理人未按本合同约定履行监理职责与义务，导致工期（总体工期或节点工期）比预定工期延误超过【30】日的；</w:t>
      </w:r>
    </w:p>
    <w:p w14:paraId="6C817791">
      <w:pPr>
        <w:spacing w:line="360" w:lineRule="auto"/>
        <w:ind w:firstLine="640" w:firstLineChars="200"/>
        <w:rPr>
          <w:rFonts w:ascii="仿宋_GB2312" w:hAnsi="宋体" w:eastAsia="仿宋_GB2312"/>
          <w:sz w:val="32"/>
          <w:szCs w:val="32"/>
        </w:rPr>
      </w:pPr>
      <w:r>
        <w:rPr>
          <w:rFonts w:hint="eastAsia" w:ascii="仿宋_GB2312" w:hAnsi="宋体" w:eastAsia="仿宋_GB2312"/>
          <w:sz w:val="32"/>
          <w:szCs w:val="32"/>
        </w:rPr>
        <w:t>（6）监理人未适当履行施工材料检验义务导致不合格材料进入施工现场超过【3】次；</w:t>
      </w:r>
    </w:p>
    <w:p w14:paraId="3DD4E7F1">
      <w:pPr>
        <w:spacing w:line="360" w:lineRule="auto"/>
        <w:ind w:firstLine="640" w:firstLineChars="200"/>
        <w:rPr>
          <w:rFonts w:ascii="仿宋_GB2312" w:hAnsi="宋体" w:eastAsia="仿宋_GB2312"/>
          <w:sz w:val="32"/>
          <w:szCs w:val="32"/>
        </w:rPr>
      </w:pPr>
      <w:r>
        <w:rPr>
          <w:rFonts w:hint="eastAsia" w:ascii="仿宋_GB2312" w:hAnsi="宋体" w:eastAsia="仿宋_GB2312"/>
          <w:sz w:val="32"/>
          <w:szCs w:val="32"/>
        </w:rPr>
        <w:t>（7）监理人逾期履行约定义务超过【7】日，或累计出现违约为【3】次；</w:t>
      </w:r>
    </w:p>
    <w:p w14:paraId="2BD2E28B">
      <w:pPr>
        <w:spacing w:line="360" w:lineRule="auto"/>
        <w:ind w:firstLine="640" w:firstLineChars="200"/>
        <w:rPr>
          <w:rFonts w:ascii="仿宋_GB2312" w:hAnsi="宋体" w:eastAsia="仿宋_GB2312"/>
          <w:sz w:val="32"/>
          <w:szCs w:val="32"/>
        </w:rPr>
      </w:pPr>
      <w:r>
        <w:rPr>
          <w:rFonts w:hint="eastAsia" w:ascii="仿宋_GB2312" w:hAnsi="宋体" w:eastAsia="仿宋_GB2312"/>
          <w:sz w:val="32"/>
          <w:szCs w:val="32"/>
        </w:rPr>
        <w:t>（8）监理人违反本合同其他约定，经委托人要求限期整改后，监理人仍拒不整改的。</w:t>
      </w:r>
    </w:p>
    <w:p w14:paraId="5449A7BE">
      <w:pPr>
        <w:spacing w:line="360" w:lineRule="auto"/>
        <w:ind w:firstLine="640" w:firstLineChars="200"/>
        <w:rPr>
          <w:rFonts w:ascii="仿宋_GB2312" w:hAnsi="宋体" w:eastAsia="仿宋_GB2312"/>
          <w:sz w:val="32"/>
          <w:szCs w:val="32"/>
        </w:rPr>
      </w:pPr>
      <w:r>
        <w:rPr>
          <w:rFonts w:hint="eastAsia" w:ascii="仿宋_GB2312" w:hAnsi="宋体" w:eastAsia="仿宋_GB2312"/>
          <w:sz w:val="32"/>
          <w:szCs w:val="32"/>
        </w:rPr>
        <w:t>9.15除合同另有约定外，发生下列情形之一的，监理人应承担违约责任：</w:t>
      </w:r>
    </w:p>
    <w:p w14:paraId="28B4F52C">
      <w:pPr>
        <w:spacing w:line="360" w:lineRule="auto"/>
        <w:ind w:firstLine="640" w:firstLineChars="200"/>
        <w:rPr>
          <w:rFonts w:ascii="仿宋_GB2312" w:hAnsi="宋体" w:eastAsia="仿宋_GB2312"/>
          <w:sz w:val="32"/>
          <w:szCs w:val="32"/>
        </w:rPr>
      </w:pPr>
      <w:r>
        <w:rPr>
          <w:rFonts w:hint="eastAsia" w:ascii="仿宋_GB2312" w:hAnsi="宋体" w:eastAsia="仿宋_GB2312"/>
          <w:sz w:val="32"/>
          <w:szCs w:val="32"/>
        </w:rPr>
        <w:t>（1）监理人应保证所监理工程的质量达到验收合格的标准，若达不到该标准的，则监理人应向委托人支付监理报酬1%的违约金。</w:t>
      </w:r>
    </w:p>
    <w:p w14:paraId="412E67F6">
      <w:pPr>
        <w:spacing w:line="360" w:lineRule="auto"/>
        <w:ind w:firstLine="640" w:firstLineChars="200"/>
        <w:rPr>
          <w:rFonts w:ascii="仿宋_GB2312" w:hAnsi="宋体" w:eastAsia="仿宋_GB2312"/>
          <w:sz w:val="32"/>
          <w:szCs w:val="32"/>
        </w:rPr>
      </w:pPr>
      <w:r>
        <w:rPr>
          <w:rFonts w:hint="eastAsia" w:ascii="仿宋_GB2312" w:hAnsi="宋体" w:eastAsia="仿宋_GB2312"/>
          <w:sz w:val="32"/>
          <w:szCs w:val="32"/>
        </w:rPr>
        <w:t>（2）监理人在工程施工监理过程中，应严格控制工程施工需用材料的质量，监理人有权对委托人及承包单位所提供的施工材料进行检验，若出现不合格材料时应通知委托人及承包单位负责调换与处理，不合格的材料不得进入施工现场，否则，每违反一次，监理人应向委托人支付违约金人民币1000元。</w:t>
      </w:r>
    </w:p>
    <w:p w14:paraId="2C570D14">
      <w:pPr>
        <w:spacing w:line="360" w:lineRule="auto"/>
        <w:ind w:firstLine="640" w:firstLineChars="200"/>
        <w:rPr>
          <w:rFonts w:ascii="仿宋_GB2312" w:hAnsi="宋体" w:eastAsia="仿宋_GB2312"/>
          <w:sz w:val="32"/>
          <w:szCs w:val="32"/>
        </w:rPr>
      </w:pPr>
      <w:r>
        <w:rPr>
          <w:rFonts w:hint="eastAsia" w:ascii="仿宋_GB2312" w:hAnsi="宋体" w:eastAsia="仿宋_GB2312"/>
          <w:sz w:val="32"/>
          <w:szCs w:val="32"/>
        </w:rPr>
        <w:t>（3）工程竣工验收合格后【28】日内，监理人应将监理资料完整移交委托人。如不按时移交或移交不完整的，每逾期一日，应向委托人支付违约金人民币300元直至提供合格的监理资料之日止，同时委托人有权拒绝付款并不构成违约；逾期超过【10】日的，就全部违约期间每日应向委托人支付违约金500元，同时，委托人有权解除合同。</w:t>
      </w:r>
    </w:p>
    <w:p w14:paraId="229D8166">
      <w:pPr>
        <w:spacing w:line="360" w:lineRule="auto"/>
        <w:ind w:firstLine="640" w:firstLineChars="200"/>
        <w:rPr>
          <w:rFonts w:ascii="仿宋_GB2312" w:hAnsi="宋体" w:eastAsia="仿宋_GB2312"/>
          <w:sz w:val="32"/>
          <w:szCs w:val="32"/>
        </w:rPr>
      </w:pPr>
      <w:r>
        <w:rPr>
          <w:rFonts w:hint="eastAsia" w:ascii="仿宋_GB2312" w:hAnsi="宋体" w:eastAsia="仿宋_GB2312"/>
          <w:sz w:val="32"/>
          <w:szCs w:val="32"/>
        </w:rPr>
        <w:t>（4）若因监理人未履行该工程施工工地安全管理职责，导致工地出现安全事故的，每发生一次，监理人应向委托人支付监理报酬总额1%的违约金。</w:t>
      </w:r>
    </w:p>
    <w:p w14:paraId="0F79E453">
      <w:pPr>
        <w:spacing w:line="360" w:lineRule="auto"/>
        <w:ind w:firstLine="640" w:firstLineChars="200"/>
        <w:rPr>
          <w:rFonts w:ascii="仿宋_GB2312" w:hAnsi="宋体" w:eastAsia="仿宋_GB2312"/>
          <w:sz w:val="32"/>
          <w:szCs w:val="32"/>
        </w:rPr>
      </w:pPr>
      <w:r>
        <w:rPr>
          <w:rFonts w:hint="eastAsia" w:ascii="仿宋_GB2312" w:hAnsi="宋体" w:eastAsia="仿宋_GB2312"/>
          <w:sz w:val="32"/>
          <w:szCs w:val="32"/>
        </w:rPr>
        <w:t>（5）监理人未按委托人规定的期限参加竣工验收并出具验收资料和意见的，每逾期一日，应向委托人支付监理报酬总额0.1%的违约金；逾期超过【7】日的，就全部违约期间每日按监理报酬总额0.2%支付违约金，同时，委托人有权解除合同，监理人应承担监理赔偿责任。</w:t>
      </w:r>
    </w:p>
    <w:p w14:paraId="5238F574">
      <w:pPr>
        <w:spacing w:line="360" w:lineRule="auto"/>
        <w:ind w:firstLine="640" w:firstLineChars="200"/>
        <w:rPr>
          <w:rFonts w:ascii="仿宋_GB2312" w:hAnsi="宋体" w:eastAsia="仿宋_GB2312"/>
          <w:color w:val="0000FF"/>
          <w:sz w:val="32"/>
          <w:szCs w:val="32"/>
        </w:rPr>
      </w:pPr>
      <w:r>
        <w:rPr>
          <w:rFonts w:hint="eastAsia" w:ascii="仿宋_GB2312" w:hAnsi="宋体" w:eastAsia="仿宋_GB2312"/>
          <w:sz w:val="32"/>
          <w:szCs w:val="32"/>
        </w:rPr>
        <w:t>（6）除本合同另有约定外，监理人未按本合同约定的期限履行任何一项义务的，每逾期一日，应向委托人支付监理报酬总额0.1%的违约金；逾期超过【28】日的，委托人有权解除合同；以次数计算的，每违反一次，应向委托人支付监理报酬总额的0.1%的违约金；违反超过</w:t>
      </w:r>
      <w:r>
        <w:rPr>
          <w:rFonts w:hint="eastAsia" w:ascii="仿宋_GB2312" w:hAnsi="宋体" w:eastAsia="仿宋_GB2312"/>
          <w:color w:val="auto"/>
          <w:sz w:val="32"/>
          <w:szCs w:val="32"/>
        </w:rPr>
        <w:t>【7】次的，委托人有权解除合同。</w:t>
      </w:r>
    </w:p>
    <w:p w14:paraId="6E2D50E8">
      <w:pPr>
        <w:spacing w:line="360" w:lineRule="auto"/>
        <w:ind w:firstLine="640" w:firstLineChars="200"/>
        <w:rPr>
          <w:rFonts w:ascii="仿宋_GB2312" w:hAnsi="宋体" w:eastAsia="仿宋_GB2312"/>
          <w:sz w:val="32"/>
          <w:szCs w:val="32"/>
        </w:rPr>
      </w:pPr>
      <w:r>
        <w:rPr>
          <w:rFonts w:hint="eastAsia" w:ascii="仿宋_GB2312" w:hAnsi="宋体" w:eastAsia="仿宋_GB2312"/>
          <w:sz w:val="32"/>
          <w:szCs w:val="32"/>
        </w:rPr>
        <w:t>（7）若因监理人违约，委托人按照法律规定或本合同约定行使合同解除权的，监理人还应按本合同监理报酬总额的0.1%向委托人支付违约金。</w:t>
      </w:r>
    </w:p>
    <w:p w14:paraId="5B85D874">
      <w:pPr>
        <w:spacing w:line="360" w:lineRule="auto"/>
        <w:ind w:firstLine="640" w:firstLineChars="200"/>
        <w:rPr>
          <w:rFonts w:ascii="仿宋_GB2312" w:hAnsi="宋体" w:eastAsia="仿宋_GB2312"/>
          <w:sz w:val="32"/>
          <w:szCs w:val="32"/>
        </w:rPr>
      </w:pPr>
      <w:r>
        <w:rPr>
          <w:rFonts w:hint="eastAsia" w:ascii="仿宋_GB2312" w:hAnsi="宋体" w:eastAsia="仿宋_GB2312"/>
          <w:sz w:val="32"/>
          <w:szCs w:val="32"/>
        </w:rPr>
        <w:t>（8）若委托人因监理人的违约行为遭受损失的，监理人除应按本合同约定支付违约金外，还应另行承担监理赔偿责任（包括但不限于委托人项目工期延误导致的损失、逾期交房损失、第三方索赔损失、律师费、差旅费、诉讼费、评估费、差旅费等）。</w:t>
      </w:r>
    </w:p>
    <w:p w14:paraId="38CDC3DD">
      <w:pPr>
        <w:spacing w:line="360" w:lineRule="auto"/>
        <w:ind w:firstLine="640" w:firstLineChars="200"/>
        <w:rPr>
          <w:rFonts w:ascii="仿宋_GB2312" w:hAnsi="宋体" w:eastAsia="仿宋_GB2312"/>
          <w:sz w:val="32"/>
          <w:szCs w:val="32"/>
        </w:rPr>
      </w:pPr>
      <w:r>
        <w:rPr>
          <w:rFonts w:hint="eastAsia" w:ascii="仿宋_GB2312" w:hAnsi="宋体" w:eastAsia="仿宋_GB2312"/>
          <w:sz w:val="32"/>
          <w:szCs w:val="32"/>
        </w:rPr>
        <w:t>（9）对于监理人按照本合同约定应向委托人支付的违约金、赔偿金等费用，委托人有权尚未向监理人支付的任一期监理报酬中扣除，不足扣除的部分，由监理人在委托人限期内另行支付。</w:t>
      </w:r>
    </w:p>
    <w:p w14:paraId="48DFDA70">
      <w:pPr>
        <w:spacing w:line="360" w:lineRule="auto"/>
        <w:ind w:firstLine="640" w:firstLineChars="200"/>
        <w:rPr>
          <w:rFonts w:ascii="仿宋_GB2312" w:hAnsi="宋体" w:eastAsia="仿宋_GB2312"/>
          <w:sz w:val="32"/>
          <w:szCs w:val="32"/>
        </w:rPr>
      </w:pPr>
      <w:r>
        <w:rPr>
          <w:rFonts w:hint="eastAsia" w:ascii="仿宋_GB2312" w:hAnsi="宋体" w:eastAsia="仿宋_GB2312"/>
          <w:sz w:val="32"/>
          <w:szCs w:val="32"/>
        </w:rPr>
        <w:t>9.16安全事故：</w:t>
      </w:r>
    </w:p>
    <w:p w14:paraId="4ECBDCC5">
      <w:pPr>
        <w:spacing w:line="360" w:lineRule="auto"/>
        <w:ind w:firstLine="640" w:firstLineChars="200"/>
        <w:rPr>
          <w:rFonts w:ascii="仿宋_GB2312" w:hAnsi="宋体" w:eastAsia="仿宋_GB2312"/>
          <w:sz w:val="32"/>
          <w:szCs w:val="32"/>
        </w:rPr>
      </w:pPr>
      <w:r>
        <w:rPr>
          <w:rFonts w:hint="eastAsia" w:ascii="仿宋_GB2312" w:hAnsi="宋体" w:eastAsia="仿宋_GB2312"/>
          <w:sz w:val="32"/>
          <w:szCs w:val="32"/>
        </w:rPr>
        <w:t>若在监理期内出现工程安全事故，由监理人配合协调解决及善后工作。</w:t>
      </w:r>
    </w:p>
    <w:p w14:paraId="7DE1427C">
      <w:pPr>
        <w:spacing w:line="360" w:lineRule="auto"/>
        <w:ind w:firstLine="640" w:firstLineChars="200"/>
        <w:rPr>
          <w:rFonts w:ascii="仿宋_GB2312" w:hAnsi="宋体" w:eastAsia="仿宋_GB2312"/>
          <w:sz w:val="32"/>
          <w:szCs w:val="32"/>
        </w:rPr>
      </w:pPr>
      <w:r>
        <w:rPr>
          <w:rFonts w:hint="eastAsia" w:ascii="仿宋_GB2312" w:hAnsi="宋体" w:eastAsia="仿宋_GB2312"/>
          <w:sz w:val="32"/>
          <w:szCs w:val="32"/>
        </w:rPr>
        <w:t>9.17现场监理人员应严格遵守山东济钢环保新材料有限公司的安全管理规定，并遵守委托人的厂规厂纪，严格执行国家和地方有关工程建设安全管理的有关法律、法规，出现监理人员的人身安全事故由监理人自行负责，委托人可提供医疗方便。</w:t>
      </w:r>
    </w:p>
    <w:p w14:paraId="45C095D8">
      <w:pPr>
        <w:spacing w:line="360" w:lineRule="auto"/>
        <w:ind w:firstLine="640" w:firstLineChars="200"/>
        <w:rPr>
          <w:rFonts w:ascii="仿宋_GB2312" w:hAnsi="宋体" w:eastAsia="仿宋_GB2312"/>
          <w:sz w:val="32"/>
          <w:szCs w:val="32"/>
        </w:rPr>
      </w:pPr>
      <w:r>
        <w:rPr>
          <w:rFonts w:hint="eastAsia" w:ascii="仿宋_GB2312" w:hAnsi="宋体" w:eastAsia="仿宋_GB2312"/>
          <w:sz w:val="32"/>
          <w:szCs w:val="32"/>
        </w:rPr>
        <w:t>9.18监理人有对承包人考核、处罚的建议权。</w:t>
      </w:r>
    </w:p>
    <w:p w14:paraId="0841509F">
      <w:pPr>
        <w:spacing w:line="360" w:lineRule="auto"/>
        <w:ind w:firstLine="640" w:firstLineChars="200"/>
        <w:rPr>
          <w:rFonts w:ascii="仿宋_GB2312" w:hAnsi="宋体" w:eastAsia="仿宋_GB2312"/>
          <w:sz w:val="32"/>
          <w:szCs w:val="32"/>
        </w:rPr>
      </w:pPr>
      <w:r>
        <w:rPr>
          <w:rFonts w:hint="eastAsia" w:ascii="仿宋_GB2312" w:hAnsi="宋体" w:eastAsia="仿宋_GB2312"/>
          <w:sz w:val="32"/>
          <w:szCs w:val="32"/>
        </w:rPr>
        <w:t>9.19 监理人监理服务期间食宿自理。</w:t>
      </w:r>
    </w:p>
    <w:p w14:paraId="4CBE8C5F">
      <w:pPr>
        <w:spacing w:line="360" w:lineRule="auto"/>
        <w:ind w:firstLine="640" w:firstLineChars="200"/>
        <w:rPr>
          <w:rFonts w:ascii="仿宋_GB2312" w:hAnsi="宋体" w:eastAsia="仿宋_GB2312"/>
          <w:sz w:val="32"/>
          <w:szCs w:val="32"/>
        </w:rPr>
      </w:pPr>
      <w:r>
        <w:rPr>
          <w:rFonts w:hint="eastAsia" w:ascii="仿宋_GB2312" w:hAnsi="宋体" w:eastAsia="仿宋_GB2312"/>
          <w:sz w:val="32"/>
          <w:szCs w:val="32"/>
        </w:rPr>
        <w:t>9.20本合同未尽事宜，另行签定补充协议。</w:t>
      </w:r>
    </w:p>
    <w:p w14:paraId="451C0396">
      <w:pPr>
        <w:jc w:val="center"/>
        <w:rPr>
          <w:rFonts w:ascii="黑体" w:hAnsi="宋体" w:eastAsia="黑体" w:cs="Times New Roman"/>
          <w:b/>
          <w:bCs/>
          <w:color w:val="auto"/>
          <w:sz w:val="30"/>
          <w:szCs w:val="30"/>
          <w:lang w:val="en-US"/>
        </w:rPr>
      </w:pPr>
      <w:r>
        <w:rPr>
          <w:rFonts w:hint="eastAsia" w:ascii="黑体" w:hAnsi="宋体" w:eastAsia="黑体" w:cs="Times New Roman"/>
          <w:b/>
          <w:bCs/>
          <w:sz w:val="30"/>
          <w:szCs w:val="30"/>
        </w:rPr>
        <w:t>附件：廉洁协议书</w:t>
      </w:r>
    </w:p>
    <w:p w14:paraId="5EC25A9F">
      <w:pPr>
        <w:spacing w:line="440" w:lineRule="exact"/>
        <w:ind w:firstLine="480" w:firstLineChars="200"/>
        <w:rPr>
          <w:rFonts w:ascii="宋体" w:hAnsi="宋体" w:cs="宋体"/>
        </w:rPr>
      </w:pPr>
      <w:r>
        <w:rPr>
          <w:rFonts w:hint="eastAsia" w:ascii="宋体" w:hAnsi="宋体" w:cs="宋体"/>
        </w:rPr>
        <w:t>甲方：【】</w:t>
      </w:r>
    </w:p>
    <w:p w14:paraId="611B6A64">
      <w:pPr>
        <w:spacing w:line="440" w:lineRule="exact"/>
        <w:ind w:firstLine="480" w:firstLineChars="200"/>
        <w:rPr>
          <w:rFonts w:ascii="宋体" w:hAnsi="宋体" w:cs="宋体"/>
        </w:rPr>
      </w:pPr>
      <w:r>
        <w:rPr>
          <w:rFonts w:hint="eastAsia" w:ascii="宋体" w:hAnsi="宋体" w:cs="宋体"/>
        </w:rPr>
        <w:t>乙方：【】</w:t>
      </w:r>
    </w:p>
    <w:p w14:paraId="73CD55FE">
      <w:pPr>
        <w:spacing w:line="440" w:lineRule="exact"/>
        <w:ind w:firstLine="480" w:firstLineChars="200"/>
        <w:rPr>
          <w:rFonts w:ascii="宋体" w:hAnsi="宋体" w:cs="宋体"/>
        </w:rPr>
      </w:pPr>
      <w:r>
        <w:rPr>
          <w:rFonts w:hint="eastAsia" w:ascii="宋体" w:hAnsi="宋体" w:cs="宋体"/>
        </w:rPr>
        <w:t>为规范甲乙双方在业务交往活动中的行为，严防在业务活动中发生违规违纪违法行为，经双方协商，达成廉洁协议如下：</w:t>
      </w:r>
    </w:p>
    <w:p w14:paraId="2768DF0C">
      <w:pPr>
        <w:spacing w:line="440" w:lineRule="exact"/>
        <w:ind w:firstLine="480" w:firstLineChars="200"/>
        <w:rPr>
          <w:rFonts w:ascii="宋体" w:hAnsi="宋体" w:cs="宋体"/>
        </w:rPr>
      </w:pPr>
      <w:r>
        <w:rPr>
          <w:rFonts w:hint="eastAsia" w:ascii="宋体" w:hAnsi="宋体" w:cs="宋体"/>
        </w:rPr>
        <w:t>第一条 甲乙双方共同责任</w:t>
      </w:r>
    </w:p>
    <w:p w14:paraId="7D4186E1">
      <w:pPr>
        <w:spacing w:line="440" w:lineRule="exact"/>
        <w:ind w:firstLine="480" w:firstLineChars="200"/>
        <w:rPr>
          <w:rFonts w:ascii="宋体" w:hAnsi="宋体" w:cs="宋体"/>
        </w:rPr>
      </w:pPr>
      <w:r>
        <w:rPr>
          <w:rFonts w:hint="eastAsia" w:ascii="宋体" w:hAnsi="宋体" w:cs="宋体"/>
        </w:rPr>
        <w:t>1、严格遵守国家的法律法规及廉政建设有关规定。</w:t>
      </w:r>
    </w:p>
    <w:p w14:paraId="55E0566E">
      <w:pPr>
        <w:spacing w:line="440" w:lineRule="exact"/>
        <w:ind w:firstLine="480" w:firstLineChars="200"/>
        <w:rPr>
          <w:rFonts w:ascii="宋体" w:hAnsi="宋体" w:cs="宋体"/>
        </w:rPr>
      </w:pPr>
      <w:r>
        <w:rPr>
          <w:rFonts w:hint="eastAsia" w:ascii="宋体" w:hAnsi="宋体" w:cs="宋体"/>
        </w:rPr>
        <w:t>2、共同营造廉洁、诚信、公平、公正的业务交往环境。</w:t>
      </w:r>
    </w:p>
    <w:p w14:paraId="1A609AFF">
      <w:pPr>
        <w:spacing w:line="440" w:lineRule="exact"/>
        <w:ind w:firstLine="480" w:firstLineChars="200"/>
        <w:rPr>
          <w:rFonts w:ascii="宋体" w:hAnsi="宋体" w:cs="宋体"/>
        </w:rPr>
      </w:pPr>
      <w:r>
        <w:rPr>
          <w:rFonts w:hint="eastAsia" w:ascii="宋体" w:hAnsi="宋体" w:cs="宋体"/>
        </w:rPr>
        <w:t>3、加强对有关人员的管理和教育，自觉抵制不廉洁行为。</w:t>
      </w:r>
    </w:p>
    <w:p w14:paraId="0726E4BC">
      <w:pPr>
        <w:spacing w:line="440" w:lineRule="exact"/>
        <w:ind w:firstLine="480" w:firstLineChars="200"/>
        <w:rPr>
          <w:rFonts w:ascii="宋体" w:hAnsi="宋体" w:cs="宋体"/>
        </w:rPr>
      </w:pPr>
      <w:r>
        <w:rPr>
          <w:rFonts w:hint="eastAsia" w:ascii="宋体" w:hAnsi="宋体" w:cs="宋体"/>
        </w:rPr>
        <w:t>4、发现对方及及其人员在业务活动中有违反廉政规定的行为，有及时要求对方纠正，并向纪检监察机关或司法机关举报的权利和义务。</w:t>
      </w:r>
    </w:p>
    <w:p w14:paraId="7A21A755">
      <w:pPr>
        <w:spacing w:line="440" w:lineRule="exact"/>
        <w:ind w:firstLine="480" w:firstLineChars="200"/>
        <w:rPr>
          <w:rFonts w:ascii="宋体" w:hAnsi="宋体" w:cs="宋体"/>
        </w:rPr>
      </w:pPr>
      <w:r>
        <w:rPr>
          <w:rFonts w:hint="eastAsia" w:ascii="宋体" w:hAnsi="宋体" w:cs="宋体"/>
        </w:rPr>
        <w:t>第二条 甲方及其人员的责任</w:t>
      </w:r>
    </w:p>
    <w:p w14:paraId="781D5A11">
      <w:pPr>
        <w:spacing w:line="440" w:lineRule="exact"/>
        <w:ind w:firstLine="480" w:firstLineChars="200"/>
        <w:rPr>
          <w:rFonts w:ascii="宋体" w:hAnsi="宋体" w:cs="宋体"/>
        </w:rPr>
      </w:pPr>
      <w:r>
        <w:rPr>
          <w:rFonts w:hint="eastAsia" w:ascii="宋体" w:hAnsi="宋体" w:cs="宋体"/>
        </w:rPr>
        <w:t>1、禁止索要或接受乙方及其相关单位和人员提供的回扣、礼金、有价证劵、支付凭证、贵重物品等。</w:t>
      </w:r>
    </w:p>
    <w:p w14:paraId="1915377D">
      <w:pPr>
        <w:spacing w:line="440" w:lineRule="exact"/>
        <w:ind w:firstLine="480" w:firstLineChars="200"/>
        <w:rPr>
          <w:rFonts w:ascii="宋体" w:hAnsi="宋体" w:cs="宋体"/>
        </w:rPr>
      </w:pPr>
      <w:r>
        <w:rPr>
          <w:rFonts w:hint="eastAsia" w:ascii="宋体" w:hAnsi="宋体" w:cs="宋体"/>
        </w:rPr>
        <w:t>2、禁止在乙方及其相关单位报销任何应由甲方或个人支付的费用。</w:t>
      </w:r>
    </w:p>
    <w:p w14:paraId="5DFE6CE2">
      <w:pPr>
        <w:spacing w:line="440" w:lineRule="exact"/>
        <w:ind w:firstLine="480" w:firstLineChars="200"/>
        <w:rPr>
          <w:rFonts w:ascii="宋体" w:hAnsi="宋体" w:cs="宋体"/>
        </w:rPr>
      </w:pPr>
      <w:r>
        <w:rPr>
          <w:rFonts w:hint="eastAsia" w:ascii="宋体" w:hAnsi="宋体" w:cs="宋体"/>
        </w:rPr>
        <w:t>3、禁止在乙方及其相关单位投资入股，禁止向乙方单位及人员借款或委托买卖股票、债券等。</w:t>
      </w:r>
    </w:p>
    <w:p w14:paraId="04A3F5F8">
      <w:pPr>
        <w:spacing w:line="440" w:lineRule="exact"/>
        <w:ind w:firstLine="480" w:firstLineChars="200"/>
        <w:rPr>
          <w:rFonts w:ascii="宋体" w:hAnsi="宋体" w:cs="宋体"/>
        </w:rPr>
      </w:pPr>
      <w:r>
        <w:rPr>
          <w:rFonts w:hint="eastAsia" w:ascii="宋体" w:hAnsi="宋体" w:cs="宋体"/>
        </w:rPr>
        <w:t>4、禁止暗示、要求和接受乙方及其相关单位为其购买或装修住房，为婚丧嫁娶、配偶和子女的工作安排或上学等提供方便。</w:t>
      </w:r>
    </w:p>
    <w:p w14:paraId="211FD2BC">
      <w:pPr>
        <w:spacing w:line="440" w:lineRule="exact"/>
        <w:ind w:firstLine="480" w:firstLineChars="200"/>
        <w:rPr>
          <w:rFonts w:ascii="宋体" w:hAnsi="宋体" w:cs="宋体"/>
        </w:rPr>
      </w:pPr>
      <w:r>
        <w:rPr>
          <w:rFonts w:hint="eastAsia" w:ascii="宋体" w:hAnsi="宋体" w:cs="宋体"/>
        </w:rPr>
        <w:t>5、禁止接受乙方及其相关单位安排的宴请以及旅游、健身等娱乐活动。</w:t>
      </w:r>
    </w:p>
    <w:p w14:paraId="5CE42D25">
      <w:pPr>
        <w:spacing w:line="440" w:lineRule="exact"/>
        <w:ind w:firstLine="480" w:firstLineChars="200"/>
        <w:rPr>
          <w:rFonts w:ascii="宋体" w:hAnsi="宋体" w:cs="宋体"/>
        </w:rPr>
      </w:pPr>
      <w:r>
        <w:rPr>
          <w:rFonts w:hint="eastAsia" w:ascii="宋体" w:hAnsi="宋体" w:cs="宋体"/>
        </w:rPr>
        <w:t>6、禁止接受乙方及其相关单位购置或提供的通讯工具、交通工具和高档办公用品。</w:t>
      </w:r>
    </w:p>
    <w:p w14:paraId="38A4BCC8">
      <w:pPr>
        <w:spacing w:line="440" w:lineRule="exact"/>
        <w:ind w:firstLine="480" w:firstLineChars="200"/>
        <w:rPr>
          <w:rFonts w:ascii="宋体" w:hAnsi="宋体" w:cs="宋体"/>
        </w:rPr>
      </w:pPr>
      <w:r>
        <w:rPr>
          <w:rFonts w:hint="eastAsia" w:ascii="宋体" w:hAnsi="宋体" w:cs="宋体"/>
        </w:rPr>
        <w:t>7、禁止通过乙方及其相关单位为其配偶、子女及他人谋取不正当利益。</w:t>
      </w:r>
    </w:p>
    <w:p w14:paraId="22EB246B">
      <w:pPr>
        <w:spacing w:line="440" w:lineRule="exact"/>
        <w:ind w:firstLine="480" w:firstLineChars="200"/>
        <w:rPr>
          <w:rFonts w:ascii="宋体" w:hAnsi="宋体" w:cs="宋体"/>
        </w:rPr>
      </w:pPr>
      <w:r>
        <w:rPr>
          <w:rFonts w:hint="eastAsia" w:ascii="宋体" w:hAnsi="宋体" w:cs="宋体"/>
        </w:rPr>
        <w:t>8、禁止在乙方或乙方相关单位兼职和领取兼职工资及报酬；禁止利用甲方的商业秘密谋取个人私利。</w:t>
      </w:r>
    </w:p>
    <w:p w14:paraId="31E0D598">
      <w:pPr>
        <w:spacing w:line="440" w:lineRule="exact"/>
        <w:ind w:firstLine="480" w:firstLineChars="200"/>
        <w:rPr>
          <w:rFonts w:ascii="宋体" w:hAnsi="宋体" w:cs="宋体"/>
        </w:rPr>
      </w:pPr>
      <w:r>
        <w:rPr>
          <w:rFonts w:hint="eastAsia" w:ascii="宋体" w:hAnsi="宋体" w:cs="宋体"/>
        </w:rPr>
        <w:t>9、禁止利用职权和工作之便向乙方提出上述各项禁止事项之外其它违背党规党纪、国家法律法规和本公司廉洁自律有关规定的事项或要求。</w:t>
      </w:r>
    </w:p>
    <w:p w14:paraId="196EEEF4">
      <w:pPr>
        <w:spacing w:line="440" w:lineRule="exact"/>
        <w:ind w:firstLine="480" w:firstLineChars="200"/>
        <w:rPr>
          <w:rFonts w:ascii="宋体" w:hAnsi="宋体" w:cs="宋体"/>
          <w:b/>
          <w:bCs/>
        </w:rPr>
      </w:pPr>
      <w:r>
        <w:rPr>
          <w:rFonts w:hint="eastAsia" w:ascii="宋体" w:hAnsi="宋体" w:cs="宋体"/>
        </w:rPr>
        <w:t>10、如乙方有知悉/怀疑甲方员工有违反上述规定的，欢迎与甲方纪委办联系。甲方设定专用邮箱XXXXX、电话XXXXX接受乙方的投诉。甲方会对所有信息提供者及所提供的全部资料严格保密。</w:t>
      </w:r>
      <w:r>
        <w:rPr>
          <w:rFonts w:hint="eastAsia" w:ascii="宋体" w:hAnsi="宋体" w:cs="宋体"/>
          <w:b/>
          <w:bCs/>
        </w:rPr>
        <w:t>（本条视情况决定是否保留）</w:t>
      </w:r>
    </w:p>
    <w:p w14:paraId="4FD1CC19">
      <w:pPr>
        <w:spacing w:line="440" w:lineRule="exact"/>
        <w:ind w:firstLine="480" w:firstLineChars="200"/>
        <w:rPr>
          <w:rFonts w:ascii="宋体" w:hAnsi="宋体" w:cs="宋体"/>
        </w:rPr>
      </w:pPr>
      <w:r>
        <w:rPr>
          <w:rFonts w:hint="eastAsia" w:ascii="宋体" w:hAnsi="宋体" w:cs="宋体"/>
        </w:rPr>
        <w:t>第三条 乙方及其人员责任</w:t>
      </w:r>
    </w:p>
    <w:p w14:paraId="3E8FC388">
      <w:pPr>
        <w:spacing w:line="440" w:lineRule="exact"/>
        <w:ind w:firstLine="480" w:firstLineChars="200"/>
        <w:rPr>
          <w:rFonts w:ascii="宋体" w:hAnsi="宋体" w:cs="宋体"/>
        </w:rPr>
      </w:pPr>
      <w:r>
        <w:rPr>
          <w:rFonts w:hint="eastAsia" w:ascii="宋体" w:hAnsi="宋体" w:cs="宋体"/>
        </w:rPr>
        <w:t>1、禁止向甲方及其人员提供回扣、礼金、有价证劵、支付凭证、贵重物品等。</w:t>
      </w:r>
    </w:p>
    <w:p w14:paraId="2C4D1A30">
      <w:pPr>
        <w:spacing w:line="440" w:lineRule="exact"/>
        <w:ind w:firstLine="480" w:firstLineChars="200"/>
        <w:rPr>
          <w:rFonts w:ascii="宋体" w:hAnsi="宋体" w:cs="宋体"/>
        </w:rPr>
      </w:pPr>
      <w:r>
        <w:rPr>
          <w:rFonts w:hint="eastAsia" w:ascii="宋体" w:hAnsi="宋体" w:cs="宋体"/>
        </w:rPr>
        <w:t>2、禁止为甲方及其人员报销应由甲方或甲方个人支付的费用。</w:t>
      </w:r>
    </w:p>
    <w:p w14:paraId="24F27EDA">
      <w:pPr>
        <w:spacing w:line="440" w:lineRule="exact"/>
        <w:ind w:firstLine="480" w:firstLineChars="200"/>
        <w:rPr>
          <w:rFonts w:ascii="宋体" w:hAnsi="宋体" w:cs="宋体"/>
        </w:rPr>
      </w:pPr>
      <w:r>
        <w:rPr>
          <w:rFonts w:hint="eastAsia" w:ascii="宋体" w:hAnsi="宋体" w:cs="宋体"/>
        </w:rPr>
        <w:t>3、禁止为甲方及其人员在乙方投资入股、个人借款等提供方便。</w:t>
      </w:r>
    </w:p>
    <w:p w14:paraId="05F93BC1">
      <w:pPr>
        <w:spacing w:line="440" w:lineRule="exact"/>
        <w:ind w:firstLine="480" w:firstLineChars="200"/>
        <w:rPr>
          <w:rFonts w:ascii="宋体" w:hAnsi="宋体" w:cs="宋体"/>
        </w:rPr>
      </w:pPr>
      <w:r>
        <w:rPr>
          <w:rFonts w:hint="eastAsia" w:ascii="宋体" w:hAnsi="宋体" w:cs="宋体"/>
        </w:rPr>
        <w:t>4、禁止为甲方及其人员购买或装修住房，为婚丧嫁娶、配偶和子女工作安排或上学等提供方便。</w:t>
      </w:r>
    </w:p>
    <w:p w14:paraId="45760453">
      <w:pPr>
        <w:spacing w:line="440" w:lineRule="exact"/>
        <w:ind w:firstLine="480" w:firstLineChars="200"/>
        <w:rPr>
          <w:rFonts w:ascii="宋体" w:hAnsi="宋体" w:cs="宋体"/>
        </w:rPr>
      </w:pPr>
      <w:r>
        <w:rPr>
          <w:rFonts w:hint="eastAsia" w:ascii="宋体" w:hAnsi="宋体" w:cs="宋体"/>
        </w:rPr>
        <w:t>5、禁止为甲方及其人员安排宴请以及旅游、健身、娱乐等活动。</w:t>
      </w:r>
    </w:p>
    <w:p w14:paraId="5B90BA3E">
      <w:pPr>
        <w:spacing w:line="440" w:lineRule="exact"/>
        <w:ind w:firstLine="480" w:firstLineChars="200"/>
        <w:rPr>
          <w:rFonts w:ascii="宋体" w:hAnsi="宋体" w:cs="宋体"/>
        </w:rPr>
      </w:pPr>
      <w:r>
        <w:rPr>
          <w:rFonts w:hint="eastAsia" w:ascii="宋体" w:hAnsi="宋体" w:cs="宋体"/>
        </w:rPr>
        <w:t>6、禁止为甲方及其人员购置或提供通讯工具、交通工具和高档办公用品。</w:t>
      </w:r>
    </w:p>
    <w:p w14:paraId="5A45D169">
      <w:pPr>
        <w:spacing w:line="440" w:lineRule="exact"/>
        <w:ind w:firstLine="480" w:firstLineChars="200"/>
        <w:rPr>
          <w:rFonts w:ascii="宋体" w:hAnsi="宋体" w:cs="宋体"/>
        </w:rPr>
      </w:pPr>
      <w:r>
        <w:rPr>
          <w:rFonts w:hint="eastAsia" w:ascii="宋体" w:hAnsi="宋体" w:cs="宋体"/>
        </w:rPr>
        <w:t>7、禁止为甲方及其人员的配偶、子女及其它亲属谋取不正当利益提供方便。</w:t>
      </w:r>
    </w:p>
    <w:p w14:paraId="437F90C5">
      <w:pPr>
        <w:spacing w:line="440" w:lineRule="exact"/>
        <w:ind w:firstLine="480" w:firstLineChars="200"/>
        <w:rPr>
          <w:rFonts w:ascii="宋体" w:hAnsi="宋体" w:cs="宋体"/>
        </w:rPr>
      </w:pPr>
      <w:r>
        <w:rPr>
          <w:rFonts w:hint="eastAsia" w:ascii="宋体" w:hAnsi="宋体" w:cs="宋体"/>
        </w:rPr>
        <w:t>8、禁止安排甲方人员在乙方或乙方相关企业兼职和领取兼职工资及报酬；禁止向甲方人员打探有关涉及甲方的商业秘密。</w:t>
      </w:r>
    </w:p>
    <w:p w14:paraId="0FE1B76D">
      <w:pPr>
        <w:spacing w:line="440" w:lineRule="exact"/>
        <w:ind w:firstLine="480" w:firstLineChars="200"/>
        <w:rPr>
          <w:rFonts w:ascii="宋体" w:hAnsi="宋体" w:cs="宋体"/>
        </w:rPr>
      </w:pPr>
      <w:r>
        <w:rPr>
          <w:rFonts w:hint="eastAsia" w:ascii="宋体" w:hAnsi="宋体" w:cs="宋体"/>
        </w:rPr>
        <w:t>9、甲方对涉嫌与甲方有关的不廉洁行为进行调查时，乙方有配合甲方提供证据、作证的义务。</w:t>
      </w:r>
    </w:p>
    <w:p w14:paraId="61468C9D">
      <w:pPr>
        <w:spacing w:line="440" w:lineRule="exact"/>
        <w:ind w:firstLine="480" w:firstLineChars="200"/>
        <w:rPr>
          <w:rFonts w:ascii="宋体" w:hAnsi="宋体" w:cs="宋体"/>
        </w:rPr>
      </w:pPr>
      <w:r>
        <w:rPr>
          <w:rFonts w:hint="eastAsia" w:ascii="宋体" w:hAnsi="宋体" w:cs="宋体"/>
        </w:rPr>
        <w:t>第四条 违约责任</w:t>
      </w:r>
    </w:p>
    <w:p w14:paraId="6A8D4FD4">
      <w:pPr>
        <w:spacing w:line="440" w:lineRule="exact"/>
        <w:ind w:firstLine="480" w:firstLineChars="200"/>
        <w:rPr>
          <w:rFonts w:ascii="宋体" w:hAnsi="宋体" w:cs="宋体"/>
        </w:rPr>
      </w:pPr>
      <w:r>
        <w:rPr>
          <w:rFonts w:hint="eastAsia" w:ascii="宋体" w:hAnsi="宋体" w:cs="宋体"/>
        </w:rPr>
        <w:t>1、甲方及其人员有违反本协议第一条、第二条规定的，按照管理权限，依据有关纪律规定给予有关人员纪律处分或组织处理；涉嫌犯罪的，移交司法机关追究刑事责任。</w:t>
      </w:r>
    </w:p>
    <w:p w14:paraId="4A3C6E54">
      <w:pPr>
        <w:spacing w:line="440" w:lineRule="exact"/>
        <w:ind w:firstLine="480" w:firstLineChars="200"/>
        <w:rPr>
          <w:rFonts w:ascii="宋体" w:hAnsi="宋体" w:cs="宋体"/>
        </w:rPr>
      </w:pPr>
      <w:r>
        <w:rPr>
          <w:rFonts w:hint="eastAsia" w:ascii="宋体" w:hAnsi="宋体" w:cs="宋体"/>
        </w:rPr>
        <w:t>2、乙方及其人员有违反本协议第一条、第三条规定的，甲方有权依据本协议单方决定变更甲、乙双方所有合同中关于数额、履行期限等相关权利与义务的条款，且有权解除与乙方的所有协议、合同并不承担任何违约责任。甲方并有权要求乙方赔偿由此造成的甲方损失（包括直接损失、可得利益损失、律师费等）。涉嫌犯罪的，移交司法机关追究刑事责任。</w:t>
      </w:r>
    </w:p>
    <w:p w14:paraId="0B615F17">
      <w:pPr>
        <w:spacing w:line="440" w:lineRule="exact"/>
        <w:ind w:firstLine="480" w:firstLineChars="200"/>
        <w:rPr>
          <w:rFonts w:ascii="宋体" w:hAnsi="宋体" w:cs="宋体"/>
        </w:rPr>
      </w:pPr>
      <w:r>
        <w:rPr>
          <w:rFonts w:hint="eastAsia" w:ascii="宋体" w:hAnsi="宋体" w:cs="宋体"/>
        </w:rPr>
        <w:t>第五条 本协议经双方签署后生效</w:t>
      </w:r>
    </w:p>
    <w:p w14:paraId="3189AF47">
      <w:pPr>
        <w:spacing w:line="440" w:lineRule="exact"/>
        <w:ind w:firstLine="480" w:firstLineChars="200"/>
        <w:rPr>
          <w:rFonts w:ascii="宋体" w:hAnsi="宋体" w:cs="宋体"/>
        </w:rPr>
      </w:pPr>
      <w:r>
        <w:rPr>
          <w:rFonts w:hint="eastAsia" w:ascii="宋体" w:hAnsi="宋体" w:cs="宋体"/>
        </w:rPr>
        <w:t>甲乙双方通过</w:t>
      </w:r>
      <w:r>
        <w:rPr>
          <w:rFonts w:hint="eastAsia" w:ascii="宋体" w:hAnsi="宋体" w:cs="宋体"/>
          <w:lang w:eastAsia="zh-CN"/>
        </w:rPr>
        <w:t>谈判</w:t>
      </w:r>
      <w:r>
        <w:rPr>
          <w:rFonts w:hint="eastAsia" w:ascii="宋体" w:hAnsi="宋体" w:cs="宋体"/>
        </w:rPr>
        <w:t>或其它方式签订业务合同时，必须签署本协议。本协议作为业务合同的附件，与合同具有同等效力；如双方未签订合同，本协议独立有效。</w:t>
      </w:r>
    </w:p>
    <w:p w14:paraId="0A15F9EF">
      <w:pPr>
        <w:spacing w:line="440" w:lineRule="exact"/>
        <w:ind w:firstLine="480" w:firstLineChars="200"/>
        <w:rPr>
          <w:rFonts w:ascii="宋体" w:hAnsi="宋体" w:cs="宋体"/>
        </w:rPr>
      </w:pPr>
      <w:r>
        <w:rPr>
          <w:rFonts w:hint="eastAsia" w:ascii="宋体" w:hAnsi="宋体" w:cs="宋体"/>
        </w:rPr>
        <w:t>第六条 甲乙双方及其人员在合同履行完毕后，发现在合同执行期间有违反本协议规定的行为，仍按本协议规定处理。</w:t>
      </w:r>
    </w:p>
    <w:p w14:paraId="0821EFB6">
      <w:pPr>
        <w:spacing w:line="440" w:lineRule="exact"/>
        <w:ind w:firstLine="480" w:firstLineChars="200"/>
        <w:rPr>
          <w:rFonts w:ascii="宋体" w:hAnsi="宋体" w:cs="宋体"/>
        </w:rPr>
      </w:pPr>
      <w:r>
        <w:rPr>
          <w:rFonts w:hint="eastAsia" w:ascii="宋体" w:hAnsi="宋体" w:cs="宋体"/>
        </w:rPr>
        <w:t>第七条 本协议书一式两份，甲乙双方各执一份，具有同等效力。</w:t>
      </w:r>
    </w:p>
    <w:p w14:paraId="18F5E133">
      <w:pPr>
        <w:spacing w:line="440" w:lineRule="exact"/>
        <w:ind w:firstLine="480" w:firstLineChars="200"/>
        <w:rPr>
          <w:rFonts w:ascii="宋体" w:hAnsi="宋体" w:cs="宋体"/>
        </w:rPr>
      </w:pPr>
      <w:r>
        <w:rPr>
          <w:rFonts w:hint="eastAsia" w:ascii="宋体" w:hAnsi="宋体" w:cs="宋体"/>
        </w:rPr>
        <w:t>第八条 由此引起的纠纷由甲方所在地人民法院管辖。</w:t>
      </w:r>
    </w:p>
    <w:tbl>
      <w:tblPr>
        <w:tblStyle w:val="24"/>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4756"/>
        <w:gridCol w:w="4759"/>
      </w:tblGrid>
      <w:tr w14:paraId="2418D95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499" w:type="pct"/>
          </w:tcPr>
          <w:p w14:paraId="2BCD3154">
            <w:pPr>
              <w:pStyle w:val="19"/>
              <w:wordWrap w:val="0"/>
              <w:spacing w:before="0" w:line="360" w:lineRule="auto"/>
              <w:jc w:val="both"/>
              <w:rPr>
                <w:rFonts w:cs="华文宋体" w:asciiTheme="minorEastAsia" w:hAnsiTheme="minorEastAsia"/>
                <w:color w:val="000000"/>
                <w:szCs w:val="24"/>
              </w:rPr>
            </w:pPr>
            <w:r>
              <w:rPr>
                <w:rFonts w:hint="eastAsia" w:cs="华文宋体" w:asciiTheme="minorEastAsia" w:hAnsiTheme="minorEastAsia"/>
                <w:color w:val="000000"/>
                <w:szCs w:val="24"/>
              </w:rPr>
              <w:t>甲方（盖章）：</w:t>
            </w:r>
          </w:p>
          <w:p w14:paraId="79EA2826">
            <w:pPr>
              <w:pStyle w:val="19"/>
              <w:wordWrap w:val="0"/>
              <w:spacing w:before="0" w:line="360" w:lineRule="auto"/>
              <w:jc w:val="both"/>
              <w:rPr>
                <w:rFonts w:cs="华文宋体" w:asciiTheme="minorEastAsia" w:hAnsiTheme="minorEastAsia"/>
                <w:color w:val="000000"/>
                <w:szCs w:val="24"/>
              </w:rPr>
            </w:pPr>
          </w:p>
        </w:tc>
        <w:tc>
          <w:tcPr>
            <w:tcW w:w="2501" w:type="pct"/>
          </w:tcPr>
          <w:p w14:paraId="27132255">
            <w:pPr>
              <w:pStyle w:val="19"/>
              <w:wordWrap w:val="0"/>
              <w:spacing w:before="0" w:line="360" w:lineRule="auto"/>
              <w:jc w:val="both"/>
              <w:rPr>
                <w:rFonts w:cs="华文宋体" w:asciiTheme="minorEastAsia" w:hAnsiTheme="minorEastAsia"/>
                <w:color w:val="000000"/>
                <w:szCs w:val="24"/>
              </w:rPr>
            </w:pPr>
            <w:r>
              <w:rPr>
                <w:rFonts w:hint="eastAsia" w:cs="华文宋体" w:asciiTheme="minorEastAsia" w:hAnsiTheme="minorEastAsia"/>
                <w:color w:val="000000"/>
                <w:szCs w:val="24"/>
              </w:rPr>
              <w:t>乙方（盖章）：</w:t>
            </w:r>
          </w:p>
        </w:tc>
      </w:tr>
      <w:tr w14:paraId="095FEFE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499" w:type="pct"/>
          </w:tcPr>
          <w:p w14:paraId="6856BCDD">
            <w:pPr>
              <w:pStyle w:val="19"/>
              <w:wordWrap w:val="0"/>
              <w:spacing w:before="0" w:line="360" w:lineRule="auto"/>
              <w:jc w:val="both"/>
              <w:rPr>
                <w:rFonts w:cs="华文宋体" w:asciiTheme="minorEastAsia" w:hAnsiTheme="minorEastAsia"/>
                <w:color w:val="000000"/>
                <w:szCs w:val="24"/>
              </w:rPr>
            </w:pPr>
            <w:r>
              <w:rPr>
                <w:rFonts w:hint="eastAsia" w:cs="华文宋体" w:asciiTheme="minorEastAsia" w:hAnsiTheme="minorEastAsia"/>
                <w:color w:val="000000"/>
                <w:szCs w:val="24"/>
              </w:rPr>
              <w:t>签订时间：</w:t>
            </w:r>
            <w:r>
              <w:rPr>
                <w:rFonts w:hint="eastAsia" w:ascii="宋体" w:hAnsi="宋体"/>
                <w:color w:val="000000" w:themeColor="text1"/>
                <w:u w:val="single"/>
                <w14:textFill>
                  <w14:solidFill>
                    <w14:schemeClr w14:val="tx1"/>
                  </w14:solidFill>
                </w14:textFill>
              </w:rPr>
              <w:t xml:space="preserve">    年  月  日          </w:t>
            </w:r>
          </w:p>
        </w:tc>
        <w:tc>
          <w:tcPr>
            <w:tcW w:w="2501" w:type="pct"/>
          </w:tcPr>
          <w:p w14:paraId="62985774">
            <w:pPr>
              <w:pStyle w:val="19"/>
              <w:wordWrap w:val="0"/>
              <w:spacing w:before="0" w:line="360" w:lineRule="auto"/>
              <w:jc w:val="both"/>
              <w:rPr>
                <w:rFonts w:cs="华文宋体" w:asciiTheme="minorEastAsia" w:hAnsiTheme="minorEastAsia"/>
                <w:color w:val="000000"/>
                <w:szCs w:val="24"/>
              </w:rPr>
            </w:pPr>
            <w:r>
              <w:rPr>
                <w:rFonts w:hint="eastAsia" w:cs="华文宋体" w:asciiTheme="minorEastAsia" w:hAnsiTheme="minorEastAsia"/>
                <w:color w:val="000000"/>
                <w:szCs w:val="24"/>
              </w:rPr>
              <w:t>签订时间：</w:t>
            </w:r>
            <w:r>
              <w:rPr>
                <w:rFonts w:hint="eastAsia" w:ascii="宋体" w:hAnsi="宋体"/>
                <w:color w:val="000000" w:themeColor="text1"/>
                <w:u w:val="single"/>
                <w14:textFill>
                  <w14:solidFill>
                    <w14:schemeClr w14:val="tx1"/>
                  </w14:solidFill>
                </w14:textFill>
              </w:rPr>
              <w:t xml:space="preserve">     年  月  日           </w:t>
            </w:r>
          </w:p>
        </w:tc>
      </w:tr>
    </w:tbl>
    <w:p w14:paraId="408461CA">
      <w:pPr>
        <w:widowControl/>
        <w:rPr>
          <w:rFonts w:ascii="Times New Roman" w:hAnsi="Times New Roman" w:cs="Times New Roman" w:eastAsiaTheme="minorEastAsia"/>
          <w:color w:val="FF0000"/>
          <w:sz w:val="28"/>
          <w:szCs w:val="28"/>
        </w:rPr>
      </w:pPr>
      <w:r>
        <w:rPr>
          <w:rFonts w:ascii="Times New Roman" w:hAnsi="Times New Roman" w:cs="Times New Roman" w:eastAsiaTheme="minorEastAsia"/>
          <w:color w:val="FF0000"/>
          <w:sz w:val="28"/>
          <w:szCs w:val="28"/>
        </w:rPr>
        <w:br w:type="page"/>
      </w:r>
    </w:p>
    <w:p w14:paraId="31A8648A">
      <w:pPr>
        <w:pStyle w:val="128"/>
        <w:spacing w:before="120"/>
        <w:rPr>
          <w:rFonts w:ascii="Times New Roman" w:hAnsi="Times New Roman" w:eastAsia="黑体" w:cs="Times New Roman"/>
          <w:bCs/>
          <w:kern w:val="2"/>
          <w:sz w:val="36"/>
          <w:szCs w:val="36"/>
        </w:rPr>
      </w:pPr>
      <w:bookmarkStart w:id="280" w:name="_Toc458524103"/>
      <w:bookmarkStart w:id="281" w:name="_Toc218261958"/>
      <w:bookmarkStart w:id="282" w:name="_Toc500833907"/>
      <w:bookmarkStart w:id="283" w:name="_Toc218261994"/>
      <w:bookmarkStart w:id="284" w:name="_Hlk165036402"/>
      <w:r>
        <w:rPr>
          <w:rFonts w:ascii="Times New Roman" w:hAnsi="Times New Roman" w:eastAsia="黑体" w:cs="Times New Roman"/>
          <w:bCs/>
          <w:kern w:val="2"/>
          <w:sz w:val="36"/>
          <w:szCs w:val="36"/>
        </w:rPr>
        <w:t xml:space="preserve">第五章 </w:t>
      </w:r>
      <w:r>
        <w:rPr>
          <w:rFonts w:hint="eastAsia" w:ascii="Times New Roman" w:hAnsi="Times New Roman" w:eastAsia="黑体" w:cs="Times New Roman"/>
          <w:bCs/>
          <w:kern w:val="2"/>
          <w:sz w:val="36"/>
          <w:szCs w:val="36"/>
        </w:rPr>
        <w:t>谈判</w:t>
      </w:r>
      <w:r>
        <w:rPr>
          <w:rFonts w:ascii="Times New Roman" w:hAnsi="Times New Roman" w:eastAsia="黑体" w:cs="Times New Roman"/>
          <w:bCs/>
          <w:kern w:val="2"/>
          <w:sz w:val="36"/>
          <w:szCs w:val="36"/>
        </w:rPr>
        <w:t>文件格式</w:t>
      </w:r>
      <w:bookmarkEnd w:id="280"/>
      <w:bookmarkEnd w:id="281"/>
      <w:bookmarkEnd w:id="282"/>
      <w:bookmarkEnd w:id="283"/>
    </w:p>
    <w:p w14:paraId="2425DA07">
      <w:pPr>
        <w:autoSpaceDE w:val="0"/>
        <w:autoSpaceDN w:val="0"/>
        <w:adjustRightInd w:val="0"/>
        <w:spacing w:line="300" w:lineRule="auto"/>
        <w:ind w:firstLine="6160" w:firstLineChars="1400"/>
        <w:jc w:val="right"/>
        <w:rPr>
          <w:rFonts w:ascii="Times New Roman" w:hAnsi="Times New Roman" w:eastAsia="黑体" w:cs="Times New Roman"/>
          <w:sz w:val="44"/>
          <w:szCs w:val="44"/>
        </w:rPr>
      </w:pPr>
      <w:r>
        <w:rPr>
          <w:rFonts w:ascii="Times New Roman" w:hAnsi="Times New Roman" w:eastAsia="黑体" w:cs="Times New Roman"/>
          <w:sz w:val="44"/>
          <w:szCs w:val="44"/>
          <w:bdr w:val="single" w:color="auto" w:sz="4" w:space="0"/>
        </w:rPr>
        <w:t>正本/副本</w:t>
      </w:r>
    </w:p>
    <w:p w14:paraId="5B29F47D">
      <w:pPr>
        <w:autoSpaceDE w:val="0"/>
        <w:autoSpaceDN w:val="0"/>
        <w:adjustRightInd w:val="0"/>
        <w:spacing w:line="360" w:lineRule="auto"/>
        <w:rPr>
          <w:rFonts w:ascii="Times New Roman" w:hAnsi="Times New Roman" w:cs="Times New Roman"/>
          <w:b/>
          <w:bCs/>
          <w:sz w:val="22"/>
          <w:szCs w:val="21"/>
        </w:rPr>
      </w:pPr>
      <w:r>
        <w:rPr>
          <w:rFonts w:ascii="Times New Roman" w:hAnsi="Times New Roman" w:cs="Times New Roman"/>
          <w:b/>
          <w:bCs/>
          <w:sz w:val="22"/>
          <w:szCs w:val="21"/>
        </w:rPr>
        <w:t>说明：</w:t>
      </w:r>
    </w:p>
    <w:p w14:paraId="73955738">
      <w:pPr>
        <w:autoSpaceDE w:val="0"/>
        <w:autoSpaceDN w:val="0"/>
        <w:adjustRightInd w:val="0"/>
        <w:spacing w:line="360" w:lineRule="auto"/>
        <w:ind w:firstLine="480"/>
        <w:rPr>
          <w:rFonts w:ascii="Times New Roman" w:hAnsi="Times New Roman" w:cs="Times New Roman"/>
          <w:b/>
          <w:bCs/>
          <w:sz w:val="22"/>
          <w:szCs w:val="21"/>
        </w:rPr>
      </w:pPr>
      <w:r>
        <w:rPr>
          <w:rFonts w:ascii="Times New Roman" w:hAnsi="Times New Roman" w:cs="Times New Roman"/>
          <w:b/>
          <w:bCs/>
          <w:sz w:val="22"/>
          <w:szCs w:val="21"/>
        </w:rPr>
        <w:t>对本章所有的投标书格式 ，投标人可根据自身情况进行补充和修改，但补充和修改不得造成与本格式内容有实质性的违背。</w:t>
      </w:r>
    </w:p>
    <w:p w14:paraId="433FEA31">
      <w:pPr>
        <w:spacing w:line="300" w:lineRule="auto"/>
        <w:jc w:val="center"/>
        <w:rPr>
          <w:rFonts w:ascii="Times New Roman" w:hAnsi="Times New Roman" w:eastAsia="黑体" w:cs="Times New Roman"/>
          <w:sz w:val="36"/>
          <w:szCs w:val="36"/>
        </w:rPr>
      </w:pPr>
      <w:r>
        <w:rPr>
          <w:rFonts w:ascii="Times New Roman" w:hAnsi="Times New Roman" w:eastAsia="黑体" w:cs="Times New Roman"/>
          <w:sz w:val="36"/>
          <w:szCs w:val="36"/>
          <w:u w:val="single"/>
        </w:rPr>
        <w:t xml:space="preserve">                      </w:t>
      </w:r>
      <w:r>
        <w:rPr>
          <w:rFonts w:ascii="Times New Roman" w:hAnsi="Times New Roman" w:eastAsia="黑体" w:cs="Times New Roman"/>
          <w:sz w:val="36"/>
          <w:szCs w:val="36"/>
        </w:rPr>
        <w:t>（项目名称）</w:t>
      </w:r>
    </w:p>
    <w:p w14:paraId="0608348B">
      <w:pPr>
        <w:spacing w:line="300" w:lineRule="auto"/>
        <w:rPr>
          <w:rFonts w:ascii="Times New Roman" w:hAnsi="Times New Roman" w:cs="Times New Roman"/>
          <w:b/>
          <w:szCs w:val="21"/>
        </w:rPr>
      </w:pPr>
    </w:p>
    <w:p w14:paraId="03D46AB4">
      <w:pPr>
        <w:spacing w:line="300" w:lineRule="auto"/>
        <w:jc w:val="center"/>
        <w:rPr>
          <w:rFonts w:ascii="Times New Roman" w:hAnsi="Times New Roman" w:cs="Times New Roman"/>
          <w:b/>
          <w:szCs w:val="21"/>
        </w:rPr>
      </w:pPr>
    </w:p>
    <w:p w14:paraId="070E2355">
      <w:pPr>
        <w:spacing w:line="300" w:lineRule="auto"/>
        <w:rPr>
          <w:rFonts w:ascii="Times New Roman" w:hAnsi="Times New Roman" w:cs="Times New Roman"/>
          <w:b/>
          <w:szCs w:val="21"/>
        </w:rPr>
      </w:pPr>
    </w:p>
    <w:p w14:paraId="446E203D">
      <w:pPr>
        <w:spacing w:line="300" w:lineRule="auto"/>
        <w:rPr>
          <w:rFonts w:ascii="Times New Roman" w:hAnsi="Times New Roman" w:cs="Times New Roman"/>
          <w:b/>
          <w:szCs w:val="21"/>
        </w:rPr>
      </w:pPr>
    </w:p>
    <w:p w14:paraId="4FD78C04">
      <w:pPr>
        <w:spacing w:line="300" w:lineRule="auto"/>
        <w:rPr>
          <w:rFonts w:ascii="Times New Roman" w:hAnsi="Times New Roman" w:cs="Times New Roman"/>
          <w:b/>
          <w:szCs w:val="21"/>
        </w:rPr>
      </w:pPr>
    </w:p>
    <w:p w14:paraId="1B2356B6">
      <w:pPr>
        <w:spacing w:line="300" w:lineRule="auto"/>
        <w:rPr>
          <w:rFonts w:ascii="Times New Roman" w:hAnsi="Times New Roman" w:cs="Times New Roman"/>
          <w:b/>
          <w:szCs w:val="21"/>
        </w:rPr>
      </w:pPr>
    </w:p>
    <w:p w14:paraId="35C2551E">
      <w:pPr>
        <w:spacing w:line="300" w:lineRule="auto"/>
        <w:jc w:val="center"/>
        <w:rPr>
          <w:rFonts w:ascii="Times New Roman" w:hAnsi="Times New Roman" w:eastAsia="黑体" w:cs="Times New Roman"/>
          <w:sz w:val="36"/>
          <w:szCs w:val="36"/>
        </w:rPr>
      </w:pPr>
      <w:r>
        <w:rPr>
          <w:rFonts w:hint="eastAsia" w:ascii="Times New Roman" w:hAnsi="Times New Roman" w:eastAsia="黑体" w:cs="Times New Roman"/>
          <w:sz w:val="36"/>
          <w:szCs w:val="36"/>
        </w:rPr>
        <w:t>谈判</w:t>
      </w:r>
      <w:r>
        <w:rPr>
          <w:rFonts w:ascii="Times New Roman" w:hAnsi="Times New Roman" w:eastAsia="黑体" w:cs="Times New Roman"/>
          <w:sz w:val="36"/>
          <w:szCs w:val="36"/>
        </w:rPr>
        <w:t>文件</w:t>
      </w:r>
    </w:p>
    <w:p w14:paraId="7B4820EF">
      <w:pPr>
        <w:spacing w:line="300" w:lineRule="auto"/>
        <w:jc w:val="center"/>
        <w:rPr>
          <w:rFonts w:ascii="Times New Roman" w:hAnsi="Times New Roman" w:eastAsia="黑体" w:cs="Times New Roman"/>
          <w:sz w:val="36"/>
          <w:szCs w:val="36"/>
        </w:rPr>
      </w:pPr>
    </w:p>
    <w:p w14:paraId="19246424">
      <w:pPr>
        <w:spacing w:line="300" w:lineRule="auto"/>
        <w:jc w:val="center"/>
        <w:rPr>
          <w:rFonts w:ascii="Times New Roman" w:hAnsi="Times New Roman" w:eastAsia="黑体" w:cs="Times New Roman"/>
          <w:sz w:val="36"/>
          <w:szCs w:val="36"/>
        </w:rPr>
      </w:pPr>
    </w:p>
    <w:p w14:paraId="24228189">
      <w:pPr>
        <w:spacing w:line="300" w:lineRule="auto"/>
        <w:jc w:val="center"/>
        <w:rPr>
          <w:rFonts w:ascii="Times New Roman" w:hAnsi="Times New Roman" w:eastAsia="黑体" w:cs="Times New Roman"/>
          <w:sz w:val="36"/>
          <w:szCs w:val="36"/>
        </w:rPr>
      </w:pPr>
    </w:p>
    <w:p w14:paraId="5AD0310C">
      <w:pPr>
        <w:spacing w:line="300" w:lineRule="auto"/>
        <w:jc w:val="center"/>
        <w:rPr>
          <w:rFonts w:ascii="Times New Roman" w:hAnsi="Times New Roman" w:eastAsia="黑体" w:cs="Times New Roman"/>
          <w:sz w:val="36"/>
          <w:szCs w:val="36"/>
        </w:rPr>
      </w:pPr>
    </w:p>
    <w:p w14:paraId="7FF66FC0">
      <w:pPr>
        <w:spacing w:line="300" w:lineRule="auto"/>
        <w:rPr>
          <w:rFonts w:ascii="Times New Roman" w:hAnsi="Times New Roman" w:cs="Times New Roman"/>
          <w:b/>
          <w:szCs w:val="21"/>
        </w:rPr>
      </w:pPr>
    </w:p>
    <w:p w14:paraId="2C2A0326">
      <w:pPr>
        <w:spacing w:line="300" w:lineRule="auto"/>
        <w:rPr>
          <w:rFonts w:ascii="Times New Roman" w:hAnsi="Times New Roman" w:cs="Times New Roman"/>
          <w:szCs w:val="21"/>
        </w:rPr>
      </w:pPr>
    </w:p>
    <w:p w14:paraId="62C79FF2">
      <w:pPr>
        <w:spacing w:line="300" w:lineRule="auto"/>
        <w:rPr>
          <w:rFonts w:ascii="Times New Roman" w:hAnsi="Times New Roman" w:cs="Times New Roman"/>
          <w:szCs w:val="21"/>
        </w:rPr>
      </w:pPr>
    </w:p>
    <w:p w14:paraId="1F4FEA45">
      <w:pPr>
        <w:spacing w:line="300" w:lineRule="auto"/>
        <w:rPr>
          <w:rFonts w:ascii="Times New Roman" w:hAnsi="Times New Roman" w:cs="Times New Roman"/>
          <w:szCs w:val="21"/>
        </w:rPr>
      </w:pPr>
    </w:p>
    <w:p w14:paraId="57DB2D5C">
      <w:pPr>
        <w:spacing w:line="300" w:lineRule="auto"/>
        <w:rPr>
          <w:rFonts w:ascii="Times New Roman" w:hAnsi="Times New Roman" w:cs="Times New Roman"/>
          <w:szCs w:val="21"/>
        </w:rPr>
      </w:pPr>
    </w:p>
    <w:p w14:paraId="0E680987">
      <w:pPr>
        <w:spacing w:line="300" w:lineRule="auto"/>
        <w:rPr>
          <w:rFonts w:ascii="Times New Roman" w:hAnsi="Times New Roman" w:cs="Times New Roman"/>
          <w:szCs w:val="21"/>
        </w:rPr>
      </w:pPr>
    </w:p>
    <w:p w14:paraId="4842311F">
      <w:pPr>
        <w:spacing w:line="300" w:lineRule="auto"/>
        <w:rPr>
          <w:rFonts w:ascii="Times New Roman" w:hAnsi="Times New Roman" w:cs="Times New Roman"/>
          <w:szCs w:val="21"/>
        </w:rPr>
      </w:pPr>
    </w:p>
    <w:p w14:paraId="2E634B21">
      <w:pPr>
        <w:spacing w:line="300" w:lineRule="auto"/>
        <w:rPr>
          <w:rFonts w:ascii="Times New Roman" w:hAnsi="Times New Roman" w:cs="Times New Roman"/>
          <w:szCs w:val="21"/>
        </w:rPr>
      </w:pPr>
    </w:p>
    <w:p w14:paraId="3245F4CD">
      <w:pPr>
        <w:spacing w:line="360" w:lineRule="auto"/>
        <w:jc w:val="center"/>
        <w:rPr>
          <w:rFonts w:ascii="Times New Roman" w:hAnsi="Times New Roman" w:eastAsia="黑体" w:cs="Times New Roman"/>
          <w:sz w:val="28"/>
          <w:szCs w:val="28"/>
        </w:rPr>
      </w:pPr>
      <w:r>
        <w:rPr>
          <w:rFonts w:ascii="Times New Roman" w:hAnsi="Times New Roman" w:eastAsia="黑体" w:cs="Times New Roman"/>
          <w:sz w:val="28"/>
          <w:szCs w:val="28"/>
        </w:rPr>
        <w:t>投标人：</w:t>
      </w:r>
      <w:r>
        <w:rPr>
          <w:rFonts w:ascii="Times New Roman" w:hAnsi="Times New Roman" w:eastAsia="黑体" w:cs="Times New Roman"/>
          <w:sz w:val="28"/>
          <w:szCs w:val="28"/>
          <w:u w:val="single"/>
        </w:rPr>
        <w:t xml:space="preserve">                                       </w:t>
      </w:r>
      <w:r>
        <w:rPr>
          <w:rFonts w:ascii="Times New Roman" w:hAnsi="Times New Roman" w:eastAsia="黑体" w:cs="Times New Roman"/>
          <w:sz w:val="28"/>
          <w:szCs w:val="28"/>
        </w:rPr>
        <w:t>（盖单位公章）</w:t>
      </w:r>
    </w:p>
    <w:p w14:paraId="40CD1EB6">
      <w:pPr>
        <w:spacing w:line="360" w:lineRule="auto"/>
        <w:jc w:val="center"/>
        <w:rPr>
          <w:rFonts w:ascii="Times New Roman" w:hAnsi="Times New Roman" w:eastAsia="黑体" w:cs="Times New Roman"/>
          <w:sz w:val="28"/>
          <w:szCs w:val="28"/>
          <w:u w:val="single"/>
        </w:rPr>
      </w:pPr>
    </w:p>
    <w:p w14:paraId="181FF57A">
      <w:pPr>
        <w:spacing w:line="360" w:lineRule="auto"/>
        <w:jc w:val="center"/>
        <w:rPr>
          <w:rFonts w:ascii="Times New Roman" w:hAnsi="Times New Roman" w:eastAsia="黑体" w:cs="Times New Roman"/>
          <w:sz w:val="28"/>
          <w:szCs w:val="28"/>
        </w:rPr>
      </w:pPr>
      <w:r>
        <w:rPr>
          <w:rFonts w:ascii="Times New Roman" w:hAnsi="Times New Roman" w:eastAsia="黑体" w:cs="Times New Roman"/>
          <w:sz w:val="28"/>
          <w:szCs w:val="28"/>
        </w:rPr>
        <w:t>法定代表人或其委托代理人：</w:t>
      </w:r>
      <w:r>
        <w:rPr>
          <w:rFonts w:ascii="Times New Roman" w:hAnsi="Times New Roman" w:eastAsia="黑体" w:cs="Times New Roman"/>
          <w:sz w:val="28"/>
          <w:szCs w:val="28"/>
          <w:u w:val="single"/>
        </w:rPr>
        <w:t xml:space="preserve">                    </w:t>
      </w:r>
      <w:r>
        <w:rPr>
          <w:rFonts w:ascii="Times New Roman" w:hAnsi="Times New Roman" w:eastAsia="黑体" w:cs="Times New Roman"/>
          <w:sz w:val="28"/>
          <w:szCs w:val="28"/>
        </w:rPr>
        <w:t>（签字或盖章）</w:t>
      </w:r>
    </w:p>
    <w:p w14:paraId="1D18F621">
      <w:pPr>
        <w:spacing w:line="300" w:lineRule="auto"/>
        <w:jc w:val="center"/>
        <w:rPr>
          <w:rFonts w:ascii="Times New Roman" w:hAnsi="Times New Roman" w:eastAsia="黑体" w:cs="Times New Roman"/>
          <w:sz w:val="28"/>
          <w:szCs w:val="28"/>
          <w:u w:val="single"/>
        </w:rPr>
      </w:pPr>
    </w:p>
    <w:p w14:paraId="61A71B4A">
      <w:pPr>
        <w:ind w:firstLine="3654" w:firstLineChars="1300"/>
        <w:rPr>
          <w:rFonts w:ascii="Times New Roman" w:hAnsi="Times New Roman"/>
          <w:b/>
          <w:bCs/>
          <w:sz w:val="28"/>
          <w:szCs w:val="28"/>
          <w:u w:val="single"/>
        </w:rPr>
      </w:pPr>
      <w:r>
        <w:rPr>
          <w:rFonts w:ascii="Times New Roman" w:hAnsi="Times New Roman"/>
          <w:b/>
          <w:bCs/>
          <w:sz w:val="28"/>
          <w:szCs w:val="28"/>
          <w:u w:val="single"/>
        </w:rPr>
        <w:t xml:space="preserve">      </w:t>
      </w:r>
      <w:r>
        <w:rPr>
          <w:rFonts w:ascii="Times New Roman" w:hAnsi="Times New Roman"/>
          <w:b/>
          <w:bCs/>
          <w:sz w:val="28"/>
          <w:szCs w:val="28"/>
        </w:rPr>
        <w:t xml:space="preserve">年 </w:t>
      </w:r>
      <w:r>
        <w:rPr>
          <w:rFonts w:ascii="Times New Roman" w:hAnsi="Times New Roman"/>
          <w:b/>
          <w:bCs/>
          <w:sz w:val="28"/>
          <w:szCs w:val="28"/>
          <w:u w:val="single"/>
        </w:rPr>
        <w:t xml:space="preserve">   </w:t>
      </w:r>
      <w:r>
        <w:rPr>
          <w:rFonts w:ascii="Times New Roman" w:hAnsi="Times New Roman"/>
          <w:b/>
          <w:bCs/>
          <w:sz w:val="28"/>
          <w:szCs w:val="28"/>
        </w:rPr>
        <w:t xml:space="preserve"> 月  </w:t>
      </w:r>
      <w:r>
        <w:rPr>
          <w:rFonts w:ascii="Times New Roman" w:hAnsi="Times New Roman"/>
          <w:b/>
          <w:bCs/>
          <w:sz w:val="28"/>
          <w:szCs w:val="28"/>
          <w:u w:val="single"/>
        </w:rPr>
        <w:t xml:space="preserve">    </w:t>
      </w:r>
      <w:r>
        <w:rPr>
          <w:rFonts w:hint="eastAsia" w:ascii="Times New Roman" w:hAnsi="Times New Roman"/>
          <w:b/>
          <w:bCs/>
          <w:sz w:val="28"/>
          <w:szCs w:val="28"/>
          <w:u w:val="single"/>
        </w:rPr>
        <w:t>日</w:t>
      </w:r>
    </w:p>
    <w:p w14:paraId="62CED4C6">
      <w:pPr>
        <w:rPr>
          <w:rFonts w:ascii="Times New Roman" w:hAnsi="Times New Roman" w:cs="Times New Roman"/>
        </w:rPr>
      </w:pPr>
      <w:r>
        <w:rPr>
          <w:rFonts w:ascii="Times New Roman" w:hAnsi="Times New Roman"/>
        </w:rPr>
        <w:br w:type="page"/>
      </w:r>
      <w:bookmarkStart w:id="285" w:name="_Toc458524104"/>
    </w:p>
    <w:p w14:paraId="33C5A98A">
      <w:pPr>
        <w:spacing w:line="300" w:lineRule="auto"/>
        <w:jc w:val="center"/>
        <w:outlineLvl w:val="1"/>
        <w:rPr>
          <w:rFonts w:ascii="Times New Roman" w:hAnsi="Times New Roman"/>
          <w:b/>
          <w:bCs/>
          <w:sz w:val="32"/>
          <w:szCs w:val="32"/>
          <w:lang w:val="en-US"/>
        </w:rPr>
      </w:pPr>
      <w:r>
        <w:rPr>
          <w:rFonts w:hint="eastAsia" w:ascii="Times New Roman" w:hAnsi="Times New Roman"/>
          <w:b/>
          <w:bCs/>
          <w:sz w:val="32"/>
          <w:szCs w:val="32"/>
        </w:rPr>
        <w:t>一、报价函及报价函附录</w:t>
      </w:r>
    </w:p>
    <w:p w14:paraId="4105E568">
      <w:pPr>
        <w:jc w:val="center"/>
        <w:rPr>
          <w:b/>
          <w:bCs/>
          <w:sz w:val="28"/>
          <w:szCs w:val="28"/>
        </w:rPr>
      </w:pPr>
      <w:bookmarkStart w:id="286" w:name="_Toc246996357"/>
      <w:bookmarkStart w:id="287" w:name="_Toc152045789"/>
      <w:bookmarkStart w:id="288" w:name="_Toc152042578"/>
      <w:bookmarkStart w:id="289" w:name="_Toc144974858"/>
      <w:bookmarkStart w:id="290" w:name="_Toc296602603"/>
      <w:bookmarkStart w:id="291" w:name="_Toc246997100"/>
      <w:bookmarkStart w:id="292" w:name="_Toc179632809"/>
      <w:bookmarkStart w:id="293" w:name="_Toc247085875"/>
      <w:r>
        <w:rPr>
          <w:rFonts w:hint="eastAsia"/>
          <w:b/>
          <w:bCs/>
          <w:sz w:val="28"/>
          <w:szCs w:val="28"/>
        </w:rPr>
        <w:t>（一）报价函</w:t>
      </w:r>
      <w:bookmarkEnd w:id="286"/>
      <w:bookmarkEnd w:id="287"/>
      <w:bookmarkEnd w:id="288"/>
      <w:bookmarkEnd w:id="289"/>
      <w:bookmarkEnd w:id="290"/>
      <w:bookmarkEnd w:id="291"/>
      <w:bookmarkEnd w:id="292"/>
      <w:bookmarkEnd w:id="293"/>
    </w:p>
    <w:p w14:paraId="1A3E8B32">
      <w:pPr>
        <w:spacing w:line="300" w:lineRule="auto"/>
        <w:rPr>
          <w:rFonts w:ascii="Times New Roman" w:hAnsi="Times New Roman" w:cs="Times New Roman"/>
        </w:rPr>
      </w:pPr>
      <w:r>
        <w:rPr>
          <w:rFonts w:ascii="Times New Roman" w:hAnsi="Times New Roman" w:cs="Times New Roman"/>
          <w:u w:val="single"/>
        </w:rPr>
        <w:t xml:space="preserve">                       </w:t>
      </w:r>
      <w:r>
        <w:rPr>
          <w:rFonts w:ascii="Times New Roman" w:hAnsi="Times New Roman" w:cs="Times New Roman"/>
        </w:rPr>
        <w:t>（</w:t>
      </w:r>
      <w:r>
        <w:rPr>
          <w:rFonts w:hint="eastAsia" w:ascii="Times New Roman" w:hAnsi="Times New Roman" w:cs="Times New Roman"/>
          <w:lang w:eastAsia="zh-CN"/>
        </w:rPr>
        <w:t>谈判</w:t>
      </w:r>
      <w:r>
        <w:rPr>
          <w:rFonts w:ascii="Times New Roman" w:hAnsi="Times New Roman" w:cs="Times New Roman"/>
        </w:rPr>
        <w:t>人名称）：</w:t>
      </w:r>
    </w:p>
    <w:p w14:paraId="6C6EAA6B">
      <w:pPr>
        <w:spacing w:line="300" w:lineRule="auto"/>
        <w:ind w:firstLine="480" w:firstLineChars="200"/>
        <w:rPr>
          <w:rFonts w:ascii="Times New Roman" w:hAnsi="Times New Roman" w:cs="Times New Roman"/>
        </w:rPr>
      </w:pPr>
      <w:r>
        <w:rPr>
          <w:rFonts w:ascii="Times New Roman" w:hAnsi="Times New Roman" w:cs="Times New Roman"/>
        </w:rPr>
        <w:t>1．我方已仔细研究了</w:t>
      </w:r>
      <w:r>
        <w:rPr>
          <w:rFonts w:ascii="Times New Roman" w:hAnsi="Times New Roman" w:cs="Times New Roman"/>
          <w:u w:val="single"/>
        </w:rPr>
        <w:t xml:space="preserve">          </w:t>
      </w:r>
      <w:r>
        <w:rPr>
          <w:rFonts w:ascii="Times New Roman" w:hAnsi="Times New Roman" w:cs="Times New Roman"/>
        </w:rPr>
        <w:t>（项目名称）</w:t>
      </w:r>
      <w:r>
        <w:rPr>
          <w:rFonts w:hint="eastAsia" w:ascii="Times New Roman" w:hAnsi="Times New Roman" w:cs="Times New Roman"/>
        </w:rPr>
        <w:t>谈判</w:t>
      </w:r>
      <w:r>
        <w:rPr>
          <w:rFonts w:ascii="Times New Roman" w:hAnsi="Times New Roman" w:cs="Times New Roman"/>
        </w:rPr>
        <w:t>文件的全部内容，愿意以人民币（含税</w:t>
      </w:r>
      <w:r>
        <w:rPr>
          <w:rFonts w:ascii="Times New Roman" w:hAnsi="Times New Roman" w:cs="Times New Roman"/>
          <w:lang w:val="en-US"/>
        </w:rPr>
        <w:t>6</w:t>
      </w:r>
      <w:r>
        <w:rPr>
          <w:rFonts w:ascii="Times New Roman" w:hAnsi="Times New Roman" w:cs="Times New Roman"/>
        </w:rPr>
        <w:t>%）大写</w:t>
      </w:r>
      <w:r>
        <w:rPr>
          <w:rFonts w:ascii="Times New Roman" w:hAnsi="Times New Roman" w:cs="Times New Roman"/>
          <w:u w:val="single"/>
        </w:rPr>
        <w:t xml:space="preserve">         </w:t>
      </w:r>
      <w:r>
        <w:rPr>
          <w:rFonts w:ascii="Times New Roman" w:hAnsi="Times New Roman" w:cs="Times New Roman"/>
        </w:rPr>
        <w:t>（¥</w:t>
      </w:r>
      <w:r>
        <w:rPr>
          <w:rFonts w:ascii="Times New Roman" w:hAnsi="Times New Roman" w:cs="Times New Roman"/>
          <w:u w:val="single"/>
        </w:rPr>
        <w:t xml:space="preserve">           </w:t>
      </w:r>
      <w:r>
        <w:rPr>
          <w:rFonts w:ascii="Times New Roman" w:hAnsi="Times New Roman" w:cs="Times New Roman"/>
        </w:rPr>
        <w:t>）的总报价，</w:t>
      </w:r>
      <w:r>
        <w:rPr>
          <w:rFonts w:hint="eastAsia" w:ascii="Times New Roman" w:hAnsi="Times New Roman" w:cs="Times New Roman"/>
          <w:lang w:val="en-US"/>
        </w:rPr>
        <w:t>服务</w:t>
      </w:r>
      <w:r>
        <w:rPr>
          <w:rFonts w:ascii="Times New Roman" w:hAnsi="Times New Roman" w:cs="Times New Roman"/>
        </w:rPr>
        <w:t>周期</w:t>
      </w:r>
      <w:r>
        <w:rPr>
          <w:rFonts w:ascii="Times New Roman" w:hAnsi="Times New Roman" w:cs="Times New Roman"/>
          <w:u w:val="single"/>
        </w:rPr>
        <w:t xml:space="preserve">     </w:t>
      </w:r>
      <w:r>
        <w:rPr>
          <w:rFonts w:ascii="Times New Roman" w:hAnsi="Times New Roman" w:cs="Times New Roman"/>
        </w:rPr>
        <w:t>日历天，按合同约定履行所有义务。</w:t>
      </w:r>
    </w:p>
    <w:p w14:paraId="6C8CBFFB">
      <w:pPr>
        <w:spacing w:line="300" w:lineRule="auto"/>
        <w:ind w:firstLine="480" w:firstLineChars="200"/>
        <w:rPr>
          <w:rFonts w:ascii="Times New Roman" w:hAnsi="Times New Roman" w:cs="Times New Roman"/>
        </w:rPr>
      </w:pPr>
      <w:r>
        <w:rPr>
          <w:rFonts w:ascii="Times New Roman" w:hAnsi="Times New Roman" w:cs="Times New Roman"/>
        </w:rPr>
        <w:t>2．我方承诺在</w:t>
      </w:r>
      <w:r>
        <w:rPr>
          <w:rFonts w:hint="eastAsia" w:ascii="Times New Roman" w:hAnsi="Times New Roman" w:cs="Times New Roman"/>
        </w:rPr>
        <w:t>谈判</w:t>
      </w:r>
      <w:r>
        <w:rPr>
          <w:rFonts w:ascii="Times New Roman" w:hAnsi="Times New Roman" w:cs="Times New Roman"/>
        </w:rPr>
        <w:t>文件规定的</w:t>
      </w:r>
      <w:r>
        <w:rPr>
          <w:rFonts w:hint="eastAsia" w:ascii="Times New Roman" w:hAnsi="Times New Roman" w:cs="Times New Roman"/>
          <w:lang w:eastAsia="zh-CN"/>
        </w:rPr>
        <w:t>谈判</w:t>
      </w:r>
      <w:r>
        <w:rPr>
          <w:rFonts w:ascii="Times New Roman" w:hAnsi="Times New Roman" w:cs="Times New Roman"/>
        </w:rPr>
        <w:t>有效期内不修改、撤销投标文件。</w:t>
      </w:r>
    </w:p>
    <w:p w14:paraId="6EADFCC9">
      <w:pPr>
        <w:spacing w:line="300" w:lineRule="auto"/>
        <w:ind w:firstLine="480" w:firstLineChars="200"/>
        <w:rPr>
          <w:rFonts w:ascii="Times New Roman" w:hAnsi="Times New Roman" w:cs="Times New Roman"/>
        </w:rPr>
      </w:pPr>
      <w:r>
        <w:rPr>
          <w:rFonts w:ascii="Times New Roman" w:hAnsi="Times New Roman" w:cs="Times New Roman"/>
        </w:rPr>
        <w:t>3．随同本报价函提交</w:t>
      </w:r>
      <w:r>
        <w:rPr>
          <w:rFonts w:hint="eastAsia" w:ascii="Times New Roman" w:hAnsi="Times New Roman" w:cs="Times New Roman"/>
        </w:rPr>
        <w:t>谈判</w:t>
      </w:r>
      <w:r>
        <w:rPr>
          <w:rFonts w:ascii="Times New Roman" w:hAnsi="Times New Roman" w:cs="Times New Roman"/>
        </w:rPr>
        <w:t>保证金一份，金额为人民币（大写）</w:t>
      </w:r>
      <w:r>
        <w:rPr>
          <w:rFonts w:ascii="Times New Roman" w:hAnsi="Times New Roman" w:cs="Times New Roman"/>
          <w:u w:val="single"/>
        </w:rPr>
        <w:t xml:space="preserve">        </w:t>
      </w:r>
      <w:r>
        <w:rPr>
          <w:rFonts w:ascii="Times New Roman" w:hAnsi="Times New Roman" w:cs="Times New Roman"/>
        </w:rPr>
        <w:t>（¥</w:t>
      </w:r>
      <w:r>
        <w:rPr>
          <w:rFonts w:ascii="Times New Roman" w:hAnsi="Times New Roman" w:cs="Times New Roman"/>
          <w:u w:val="single"/>
        </w:rPr>
        <w:t xml:space="preserve">       </w:t>
      </w:r>
      <w:r>
        <w:rPr>
          <w:rFonts w:ascii="Times New Roman" w:hAnsi="Times New Roman" w:cs="Times New Roman"/>
        </w:rPr>
        <w:t>）。</w:t>
      </w:r>
    </w:p>
    <w:p w14:paraId="23C7ADEC">
      <w:pPr>
        <w:spacing w:line="300" w:lineRule="auto"/>
        <w:ind w:firstLine="480" w:firstLineChars="200"/>
        <w:rPr>
          <w:rFonts w:ascii="Times New Roman" w:hAnsi="Times New Roman" w:cs="Times New Roman"/>
        </w:rPr>
      </w:pPr>
      <w:r>
        <w:rPr>
          <w:rFonts w:ascii="Times New Roman" w:hAnsi="Times New Roman" w:cs="Times New Roman"/>
        </w:rPr>
        <w:t>4．如我方中标：</w:t>
      </w:r>
    </w:p>
    <w:p w14:paraId="3E67F6CC">
      <w:pPr>
        <w:spacing w:line="300" w:lineRule="auto"/>
        <w:ind w:firstLine="820" w:firstLineChars="342"/>
        <w:rPr>
          <w:rFonts w:ascii="Times New Roman" w:hAnsi="Times New Roman" w:cs="Times New Roman"/>
        </w:rPr>
      </w:pPr>
      <w:r>
        <w:rPr>
          <w:rFonts w:ascii="Times New Roman" w:hAnsi="Times New Roman" w:cs="Times New Roman"/>
        </w:rPr>
        <w:t>（1）我方承诺在收到中标通知书后，在中标通知书规定的期限内与你方签订合同。</w:t>
      </w:r>
    </w:p>
    <w:p w14:paraId="3573D590">
      <w:pPr>
        <w:spacing w:line="300" w:lineRule="auto"/>
        <w:ind w:firstLine="820" w:firstLineChars="342"/>
        <w:rPr>
          <w:rFonts w:ascii="Times New Roman" w:hAnsi="Times New Roman" w:cs="Times New Roman"/>
        </w:rPr>
      </w:pPr>
      <w:r>
        <w:rPr>
          <w:rFonts w:ascii="Times New Roman" w:hAnsi="Times New Roman" w:cs="Times New Roman"/>
        </w:rPr>
        <w:t>（2）随同本报价函递交的报价函附录属于合同文件的组成部分。</w:t>
      </w:r>
    </w:p>
    <w:p w14:paraId="37D4CCE8">
      <w:pPr>
        <w:spacing w:line="300" w:lineRule="auto"/>
        <w:ind w:firstLine="820" w:firstLineChars="342"/>
        <w:rPr>
          <w:rFonts w:ascii="Times New Roman" w:hAnsi="Times New Roman" w:cs="Times New Roman"/>
        </w:rPr>
      </w:pPr>
      <w:r>
        <w:rPr>
          <w:rFonts w:ascii="Times New Roman" w:hAnsi="Times New Roman" w:cs="Times New Roman"/>
        </w:rPr>
        <w:t>（3）我方承诺按照</w:t>
      </w:r>
      <w:r>
        <w:rPr>
          <w:rFonts w:hint="eastAsia" w:ascii="Times New Roman" w:hAnsi="Times New Roman" w:cs="Times New Roman"/>
          <w:lang w:eastAsia="zh-CN"/>
        </w:rPr>
        <w:t>谈判</w:t>
      </w:r>
      <w:r>
        <w:rPr>
          <w:rFonts w:ascii="Times New Roman" w:hAnsi="Times New Roman" w:cs="Times New Roman"/>
        </w:rPr>
        <w:t>文件规定向你方递交履约担保。</w:t>
      </w:r>
    </w:p>
    <w:p w14:paraId="79C5A0B7">
      <w:pPr>
        <w:spacing w:line="300" w:lineRule="auto"/>
        <w:ind w:firstLine="820" w:firstLineChars="342"/>
        <w:rPr>
          <w:rFonts w:ascii="Times New Roman" w:hAnsi="Times New Roman" w:cs="Times New Roman"/>
        </w:rPr>
      </w:pPr>
      <w:r>
        <w:rPr>
          <w:rFonts w:ascii="Times New Roman" w:hAnsi="Times New Roman" w:cs="Times New Roman"/>
        </w:rPr>
        <w:t>（4）我方承诺在合同约定的期限</w:t>
      </w:r>
      <w:r>
        <w:rPr>
          <w:rFonts w:hint="eastAsia" w:ascii="Times New Roman" w:hAnsi="Times New Roman" w:cs="Times New Roman"/>
        </w:rPr>
        <w:t>开展项目监理服务</w:t>
      </w:r>
      <w:r>
        <w:rPr>
          <w:rFonts w:ascii="Times New Roman" w:hAnsi="Times New Roman" w:cs="Times New Roman"/>
        </w:rPr>
        <w:t>。</w:t>
      </w:r>
    </w:p>
    <w:p w14:paraId="2DB394C7">
      <w:pPr>
        <w:spacing w:line="300" w:lineRule="auto"/>
        <w:ind w:firstLine="480" w:firstLineChars="200"/>
        <w:rPr>
          <w:rFonts w:ascii="Times New Roman" w:hAnsi="Times New Roman" w:cs="Times New Roman"/>
        </w:rPr>
      </w:pPr>
      <w:r>
        <w:rPr>
          <w:rFonts w:ascii="Times New Roman" w:hAnsi="Times New Roman" w:cs="Times New Roman"/>
        </w:rPr>
        <w:t>5．我方在此声明，所递交的</w:t>
      </w:r>
      <w:r>
        <w:rPr>
          <w:rFonts w:hint="eastAsia" w:ascii="Times New Roman" w:hAnsi="Times New Roman" w:cs="Times New Roman"/>
        </w:rPr>
        <w:t>谈判</w:t>
      </w:r>
      <w:r>
        <w:rPr>
          <w:rFonts w:ascii="Times New Roman" w:hAnsi="Times New Roman" w:cs="Times New Roman"/>
        </w:rPr>
        <w:t>文件及有关资料内容完整、真实和准确。</w:t>
      </w:r>
    </w:p>
    <w:p w14:paraId="5D5F595A">
      <w:pPr>
        <w:spacing w:line="300" w:lineRule="auto"/>
        <w:ind w:firstLine="480" w:firstLineChars="200"/>
        <w:rPr>
          <w:rFonts w:ascii="Times New Roman" w:hAnsi="Times New Roman" w:cs="Times New Roman"/>
        </w:rPr>
      </w:pPr>
      <w:r>
        <w:rPr>
          <w:rFonts w:ascii="Times New Roman" w:hAnsi="Times New Roman" w:cs="Times New Roman"/>
        </w:rPr>
        <w:t>6.</w:t>
      </w:r>
      <w:r>
        <w:rPr>
          <w:rFonts w:ascii="Times New Roman" w:hAnsi="Times New Roman" w:eastAsia="仿宋_GB2312" w:cs="Times New Roman"/>
        </w:rPr>
        <w:t xml:space="preserve"> </w:t>
      </w:r>
      <w:r>
        <w:rPr>
          <w:rFonts w:ascii="Times New Roman" w:hAnsi="Times New Roman" w:cs="Times New Roman"/>
        </w:rPr>
        <w:t>我方承诺参加</w:t>
      </w:r>
      <w:r>
        <w:rPr>
          <w:rFonts w:hint="eastAsia" w:ascii="Times New Roman" w:hAnsi="Times New Roman" w:cs="Times New Roman"/>
        </w:rPr>
        <w:t>谈判</w:t>
      </w:r>
      <w:r>
        <w:rPr>
          <w:rFonts w:ascii="Times New Roman" w:hAnsi="Times New Roman" w:cs="Times New Roman"/>
        </w:rPr>
        <w:t>活动近三年内无违法犯罪及其它不良行为记录，如有经行政主管部门查实或通报的不良记录，我方放弃参加本次项目</w:t>
      </w:r>
      <w:r>
        <w:rPr>
          <w:rFonts w:hint="eastAsia" w:ascii="Times New Roman" w:hAnsi="Times New Roman" w:cs="Times New Roman"/>
        </w:rPr>
        <w:t>谈判</w:t>
      </w:r>
      <w:r>
        <w:rPr>
          <w:rFonts w:ascii="Times New Roman" w:hAnsi="Times New Roman" w:cs="Times New Roman"/>
        </w:rPr>
        <w:t>的权利，并无条件承担相应后果和损失。</w:t>
      </w:r>
    </w:p>
    <w:p w14:paraId="2DF3C157">
      <w:pPr>
        <w:spacing w:line="300" w:lineRule="auto"/>
        <w:ind w:firstLine="480" w:firstLineChars="200"/>
        <w:rPr>
          <w:rFonts w:ascii="Times New Roman" w:hAnsi="Times New Roman" w:cs="Times New Roman"/>
        </w:rPr>
      </w:pPr>
      <w:r>
        <w:rPr>
          <w:rFonts w:ascii="Times New Roman" w:hAnsi="Times New Roman" w:cs="Times New Roman"/>
        </w:rPr>
        <w:t>7．</w:t>
      </w:r>
      <w:r>
        <w:rPr>
          <w:rFonts w:ascii="Times New Roman" w:hAnsi="Times New Roman" w:cs="Times New Roman"/>
          <w:u w:val="single"/>
        </w:rPr>
        <w:t xml:space="preserve">                                       </w:t>
      </w:r>
      <w:r>
        <w:rPr>
          <w:rFonts w:ascii="Times New Roman" w:hAnsi="Times New Roman" w:cs="Times New Roman"/>
        </w:rPr>
        <w:t>（其他补充说明）。</w:t>
      </w:r>
    </w:p>
    <w:p w14:paraId="7B4CF2CE">
      <w:pPr>
        <w:spacing w:line="300" w:lineRule="auto"/>
        <w:rPr>
          <w:rFonts w:ascii="Times New Roman" w:hAnsi="Times New Roman" w:cs="Times New Roman"/>
        </w:rPr>
      </w:pPr>
      <w:r>
        <w:rPr>
          <w:rFonts w:ascii="Times New Roman" w:hAnsi="Times New Roman" w:cs="Times New Roman"/>
        </w:rPr>
        <w:t>投标人：</w:t>
      </w:r>
      <w:r>
        <w:rPr>
          <w:rFonts w:ascii="Times New Roman" w:hAnsi="Times New Roman" w:cs="Times New Roman"/>
          <w:u w:val="single"/>
        </w:rPr>
        <w:t xml:space="preserve">                      </w:t>
      </w:r>
      <w:r>
        <w:rPr>
          <w:rFonts w:ascii="Times New Roman" w:hAnsi="Times New Roman" w:cs="Times New Roman"/>
        </w:rPr>
        <w:t>（盖单位章）</w:t>
      </w:r>
    </w:p>
    <w:p w14:paraId="520BBE9F">
      <w:pPr>
        <w:spacing w:line="300" w:lineRule="auto"/>
        <w:rPr>
          <w:rFonts w:ascii="Times New Roman" w:hAnsi="Times New Roman" w:cs="Times New Roman"/>
        </w:rPr>
      </w:pPr>
      <w:r>
        <w:rPr>
          <w:rFonts w:ascii="Times New Roman" w:hAnsi="Times New Roman" w:cs="Times New Roman"/>
        </w:rPr>
        <w:t>法定代表人：</w:t>
      </w:r>
      <w:r>
        <w:rPr>
          <w:rFonts w:ascii="Times New Roman" w:hAnsi="Times New Roman" w:cs="Times New Roman"/>
          <w:u w:val="single"/>
        </w:rPr>
        <w:t xml:space="preserve">                    </w:t>
      </w:r>
      <w:r>
        <w:rPr>
          <w:rFonts w:ascii="Times New Roman" w:hAnsi="Times New Roman" w:cs="Times New Roman"/>
        </w:rPr>
        <w:t>（签字并盖章）</w:t>
      </w:r>
    </w:p>
    <w:p w14:paraId="279CC848">
      <w:pPr>
        <w:spacing w:line="300" w:lineRule="auto"/>
        <w:rPr>
          <w:rFonts w:ascii="Times New Roman" w:hAnsi="Times New Roman" w:cs="Times New Roman"/>
        </w:rPr>
      </w:pPr>
      <w:r>
        <w:rPr>
          <w:rFonts w:ascii="Times New Roman" w:hAnsi="Times New Roman" w:cs="Times New Roman"/>
        </w:rPr>
        <w:t>委托代理人：</w:t>
      </w:r>
      <w:r>
        <w:rPr>
          <w:rFonts w:ascii="Times New Roman" w:hAnsi="Times New Roman" w:cs="Times New Roman"/>
          <w:u w:val="single"/>
        </w:rPr>
        <w:t xml:space="preserve">                    </w:t>
      </w:r>
      <w:r>
        <w:rPr>
          <w:rFonts w:ascii="Times New Roman" w:hAnsi="Times New Roman" w:cs="Times New Roman"/>
        </w:rPr>
        <w:t>（签字）</w:t>
      </w:r>
    </w:p>
    <w:p w14:paraId="44BC48EC">
      <w:pPr>
        <w:spacing w:line="300" w:lineRule="auto"/>
        <w:rPr>
          <w:rFonts w:ascii="Times New Roman" w:hAnsi="Times New Roman" w:cs="Times New Roman"/>
        </w:rPr>
      </w:pPr>
      <w:r>
        <w:rPr>
          <w:rFonts w:ascii="Times New Roman" w:hAnsi="Times New Roman" w:cs="Times New Roman"/>
        </w:rPr>
        <w:t>地址：</w:t>
      </w:r>
      <w:r>
        <w:rPr>
          <w:rFonts w:ascii="Times New Roman" w:hAnsi="Times New Roman" w:cs="Times New Roman"/>
          <w:u w:val="single"/>
        </w:rPr>
        <w:t xml:space="preserve">                                     </w:t>
      </w:r>
    </w:p>
    <w:p w14:paraId="06466C9D">
      <w:pPr>
        <w:spacing w:line="300" w:lineRule="auto"/>
        <w:rPr>
          <w:rFonts w:ascii="Times New Roman" w:hAnsi="Times New Roman" w:cs="Times New Roman"/>
        </w:rPr>
      </w:pPr>
      <w:r>
        <w:rPr>
          <w:rFonts w:ascii="Times New Roman" w:hAnsi="Times New Roman" w:cs="Times New Roman"/>
        </w:rPr>
        <w:t>网址：</w:t>
      </w:r>
      <w:r>
        <w:rPr>
          <w:rFonts w:ascii="Times New Roman" w:hAnsi="Times New Roman" w:cs="Times New Roman"/>
          <w:u w:val="single"/>
        </w:rPr>
        <w:t xml:space="preserve">                                     </w:t>
      </w:r>
    </w:p>
    <w:p w14:paraId="56C18592">
      <w:pPr>
        <w:spacing w:line="300" w:lineRule="auto"/>
        <w:rPr>
          <w:rFonts w:ascii="Times New Roman" w:hAnsi="Times New Roman" w:cs="Times New Roman"/>
        </w:rPr>
      </w:pPr>
      <w:r>
        <w:rPr>
          <w:rFonts w:ascii="Times New Roman" w:hAnsi="Times New Roman" w:cs="Times New Roman"/>
        </w:rPr>
        <w:t>电话：</w:t>
      </w:r>
      <w:r>
        <w:rPr>
          <w:rFonts w:ascii="Times New Roman" w:hAnsi="Times New Roman" w:cs="Times New Roman"/>
          <w:u w:val="single"/>
        </w:rPr>
        <w:t xml:space="preserve">                                     </w:t>
      </w:r>
    </w:p>
    <w:p w14:paraId="592E1744">
      <w:pPr>
        <w:spacing w:line="300" w:lineRule="auto"/>
        <w:rPr>
          <w:rFonts w:ascii="Times New Roman" w:hAnsi="Times New Roman" w:cs="Times New Roman"/>
        </w:rPr>
      </w:pPr>
      <w:r>
        <w:rPr>
          <w:rFonts w:ascii="Times New Roman" w:hAnsi="Times New Roman" w:cs="Times New Roman"/>
        </w:rPr>
        <w:t>传真：</w:t>
      </w:r>
      <w:r>
        <w:rPr>
          <w:rFonts w:ascii="Times New Roman" w:hAnsi="Times New Roman" w:cs="Times New Roman"/>
          <w:u w:val="single"/>
        </w:rPr>
        <w:t xml:space="preserve">                                     </w:t>
      </w:r>
    </w:p>
    <w:p w14:paraId="583F74C0">
      <w:pPr>
        <w:spacing w:line="300" w:lineRule="auto"/>
        <w:rPr>
          <w:rFonts w:ascii="Times New Roman" w:hAnsi="Times New Roman" w:cs="Times New Roman"/>
        </w:rPr>
      </w:pPr>
      <w:r>
        <w:rPr>
          <w:rFonts w:ascii="Times New Roman" w:hAnsi="Times New Roman" w:cs="Times New Roman"/>
        </w:rPr>
        <w:t>邮政编码：</w:t>
      </w:r>
      <w:r>
        <w:rPr>
          <w:rFonts w:ascii="Times New Roman" w:hAnsi="Times New Roman" w:cs="Times New Roman"/>
          <w:u w:val="single"/>
        </w:rPr>
        <w:t xml:space="preserve">                                 </w:t>
      </w:r>
    </w:p>
    <w:p w14:paraId="156EDCEB">
      <w:pPr>
        <w:spacing w:line="300" w:lineRule="auto"/>
        <w:ind w:firstLine="120" w:firstLineChars="50"/>
        <w:jc w:val="right"/>
        <w:rPr>
          <w:rFonts w:ascii="Times New Roman" w:hAnsi="Times New Roman" w:cs="Times New Roman"/>
          <w:u w:val="single"/>
        </w:rPr>
      </w:pPr>
    </w:p>
    <w:p w14:paraId="591DDDD0">
      <w:pPr>
        <w:spacing w:line="300" w:lineRule="auto"/>
        <w:ind w:firstLine="120" w:firstLineChars="50"/>
        <w:jc w:val="right"/>
        <w:rPr>
          <w:rFonts w:ascii="Times New Roman" w:hAnsi="Times New Roman" w:cs="Times New Roman"/>
        </w:rPr>
      </w:pPr>
      <w:r>
        <w:rPr>
          <w:rFonts w:ascii="Times New Roman" w:hAnsi="Times New Roman" w:cs="Times New Roman"/>
        </w:rPr>
        <w:t xml:space="preserve">               </w:t>
      </w:r>
      <w:r>
        <w:rPr>
          <w:rFonts w:ascii="Times New Roman" w:hAnsi="Times New Roman" w:cs="Times New Roman"/>
          <w:u w:val="single"/>
        </w:rPr>
        <w:t xml:space="preserve">    </w:t>
      </w:r>
      <w:r>
        <w:rPr>
          <w:rFonts w:ascii="Times New Roman" w:hAnsi="Times New Roman" w:cs="Times New Roman"/>
        </w:rPr>
        <w:t>年</w:t>
      </w:r>
      <w:r>
        <w:rPr>
          <w:rFonts w:ascii="Times New Roman" w:hAnsi="Times New Roman" w:cs="Times New Roman"/>
          <w:u w:val="single"/>
        </w:rPr>
        <w:t xml:space="preserve">    </w:t>
      </w:r>
      <w:r>
        <w:rPr>
          <w:rFonts w:ascii="Times New Roman" w:hAnsi="Times New Roman" w:cs="Times New Roman"/>
        </w:rPr>
        <w:t>月</w:t>
      </w:r>
      <w:r>
        <w:rPr>
          <w:rFonts w:ascii="Times New Roman" w:hAnsi="Times New Roman" w:cs="Times New Roman"/>
          <w:u w:val="single"/>
        </w:rPr>
        <w:t xml:space="preserve">   </w:t>
      </w:r>
      <w:r>
        <w:rPr>
          <w:rFonts w:ascii="Times New Roman" w:hAnsi="Times New Roman" w:cs="Times New Roman"/>
        </w:rPr>
        <w:t>日</w:t>
      </w:r>
    </w:p>
    <w:p w14:paraId="69D36879">
      <w:pPr>
        <w:widowControl/>
        <w:rPr>
          <w:rFonts w:ascii="Times New Roman" w:hAnsi="Times New Roman" w:cs="Times New Roman"/>
        </w:rPr>
      </w:pPr>
    </w:p>
    <w:p w14:paraId="6E5BEA15">
      <w:pPr>
        <w:widowControl/>
        <w:rPr>
          <w:rFonts w:ascii="Times New Roman" w:hAnsi="Times New Roman" w:cs="Times New Roman"/>
        </w:rPr>
      </w:pPr>
    </w:p>
    <w:p w14:paraId="573018B2">
      <w:pPr>
        <w:widowControl/>
        <w:rPr>
          <w:rFonts w:ascii="Times New Roman" w:hAnsi="Times New Roman" w:cs="Times New Roman"/>
        </w:rPr>
      </w:pPr>
      <w:r>
        <w:rPr>
          <w:rFonts w:ascii="Times New Roman" w:hAnsi="Times New Roman" w:cs="Times New Roman"/>
        </w:rPr>
        <w:br w:type="page"/>
      </w:r>
    </w:p>
    <w:p w14:paraId="6B30423F">
      <w:pPr>
        <w:spacing w:line="300" w:lineRule="auto"/>
        <w:ind w:firstLine="120" w:firstLineChars="50"/>
        <w:jc w:val="right"/>
        <w:rPr>
          <w:rFonts w:ascii="Times New Roman" w:hAnsi="Times New Roman" w:cs="Times New Roman"/>
        </w:rPr>
      </w:pPr>
    </w:p>
    <w:p w14:paraId="356A6612">
      <w:pPr>
        <w:autoSpaceDE w:val="0"/>
        <w:autoSpaceDN w:val="0"/>
        <w:adjustRightInd w:val="0"/>
        <w:spacing w:line="360" w:lineRule="auto"/>
        <w:rPr>
          <w:rFonts w:cs="宋体" w:asciiTheme="minorEastAsia" w:hAnsiTheme="minorEastAsia" w:eastAsiaTheme="minorEastAsia"/>
          <w:b/>
          <w:sz w:val="28"/>
          <w:szCs w:val="28"/>
        </w:rPr>
      </w:pPr>
      <w:bookmarkStart w:id="294" w:name="_Hlk165037746"/>
      <w:r>
        <w:rPr>
          <w:rFonts w:hint="eastAsia" w:cs="宋体" w:asciiTheme="minorEastAsia" w:hAnsiTheme="minorEastAsia" w:eastAsiaTheme="minorEastAsia"/>
          <w:b/>
          <w:sz w:val="28"/>
          <w:szCs w:val="28"/>
        </w:rPr>
        <w:t>投标函附录一</w:t>
      </w:r>
    </w:p>
    <w:bookmarkEnd w:id="294"/>
    <w:tbl>
      <w:tblPr>
        <w:tblStyle w:val="23"/>
        <w:tblW w:w="4136" w:type="pct"/>
        <w:tblInd w:w="0" w:type="dxa"/>
        <w:tblLayout w:type="autofit"/>
        <w:tblCellMar>
          <w:top w:w="0" w:type="dxa"/>
          <w:left w:w="10" w:type="dxa"/>
          <w:bottom w:w="0" w:type="dxa"/>
          <w:right w:w="10" w:type="dxa"/>
        </w:tblCellMar>
      </w:tblPr>
      <w:tblGrid>
        <w:gridCol w:w="1053"/>
        <w:gridCol w:w="2678"/>
        <w:gridCol w:w="2405"/>
        <w:gridCol w:w="1573"/>
      </w:tblGrid>
      <w:tr w14:paraId="25647A91">
        <w:tblPrEx>
          <w:tblCellMar>
            <w:top w:w="0" w:type="dxa"/>
            <w:left w:w="10" w:type="dxa"/>
            <w:bottom w:w="0" w:type="dxa"/>
            <w:right w:w="10" w:type="dxa"/>
          </w:tblCellMar>
        </w:tblPrEx>
        <w:trPr>
          <w:trHeight w:val="624" w:hRule="exact"/>
        </w:trPr>
        <w:tc>
          <w:tcPr>
            <w:tcW w:w="683" w:type="pct"/>
            <w:tcBorders>
              <w:top w:val="single" w:color="auto" w:sz="4" w:space="0"/>
              <w:left w:val="single" w:color="auto" w:sz="4" w:space="0"/>
            </w:tcBorders>
            <w:shd w:val="clear" w:color="auto" w:fill="FFFFFF"/>
            <w:vAlign w:val="center"/>
          </w:tcPr>
          <w:p w14:paraId="4DDA8BB1">
            <w:pPr>
              <w:spacing w:line="360" w:lineRule="auto"/>
              <w:jc w:val="center"/>
              <w:rPr>
                <w:rFonts w:asciiTheme="minorEastAsia" w:hAnsiTheme="minorEastAsia" w:eastAsiaTheme="minorEastAsia"/>
              </w:rPr>
            </w:pPr>
            <w:r>
              <w:rPr>
                <w:rFonts w:hint="eastAsia" w:asciiTheme="minorEastAsia" w:hAnsiTheme="minorEastAsia" w:eastAsiaTheme="minorEastAsia"/>
              </w:rPr>
              <w:t>序号</w:t>
            </w:r>
          </w:p>
        </w:tc>
        <w:tc>
          <w:tcPr>
            <w:tcW w:w="1737" w:type="pct"/>
            <w:tcBorders>
              <w:top w:val="single" w:color="auto" w:sz="4" w:space="0"/>
              <w:left w:val="single" w:color="auto" w:sz="4" w:space="0"/>
            </w:tcBorders>
            <w:shd w:val="clear" w:color="auto" w:fill="FFFFFF"/>
            <w:vAlign w:val="center"/>
          </w:tcPr>
          <w:p w14:paraId="542DE642">
            <w:pPr>
              <w:spacing w:line="360" w:lineRule="auto"/>
              <w:jc w:val="center"/>
              <w:rPr>
                <w:rFonts w:asciiTheme="minorEastAsia" w:hAnsiTheme="minorEastAsia" w:eastAsiaTheme="minorEastAsia"/>
              </w:rPr>
            </w:pPr>
            <w:r>
              <w:rPr>
                <w:rFonts w:hint="eastAsia" w:asciiTheme="minorEastAsia" w:hAnsiTheme="minorEastAsia" w:eastAsiaTheme="minorEastAsia"/>
              </w:rPr>
              <w:t>条款名称</w:t>
            </w:r>
          </w:p>
        </w:tc>
        <w:tc>
          <w:tcPr>
            <w:tcW w:w="1560" w:type="pct"/>
            <w:tcBorders>
              <w:top w:val="single" w:color="auto" w:sz="4" w:space="0"/>
              <w:left w:val="single" w:color="auto" w:sz="4" w:space="0"/>
            </w:tcBorders>
            <w:shd w:val="clear" w:color="auto" w:fill="FFFFFF"/>
            <w:vAlign w:val="center"/>
          </w:tcPr>
          <w:p w14:paraId="7FE74D76">
            <w:pPr>
              <w:spacing w:line="360" w:lineRule="auto"/>
              <w:jc w:val="center"/>
              <w:rPr>
                <w:rFonts w:asciiTheme="minorEastAsia" w:hAnsiTheme="minorEastAsia" w:eastAsiaTheme="minorEastAsia"/>
              </w:rPr>
            </w:pPr>
            <w:r>
              <w:rPr>
                <w:rFonts w:hint="eastAsia" w:asciiTheme="minorEastAsia" w:hAnsiTheme="minorEastAsia" w:eastAsiaTheme="minorEastAsia"/>
              </w:rPr>
              <w:t>约定内容</w:t>
            </w:r>
          </w:p>
        </w:tc>
        <w:tc>
          <w:tcPr>
            <w:tcW w:w="1020" w:type="pct"/>
            <w:tcBorders>
              <w:top w:val="single" w:color="auto" w:sz="4" w:space="0"/>
              <w:left w:val="single" w:color="auto" w:sz="4" w:space="0"/>
              <w:right w:val="single" w:color="auto" w:sz="4" w:space="0"/>
            </w:tcBorders>
            <w:shd w:val="clear" w:color="auto" w:fill="FFFFFF"/>
            <w:vAlign w:val="center"/>
          </w:tcPr>
          <w:p w14:paraId="67939FC0">
            <w:pPr>
              <w:spacing w:line="360" w:lineRule="auto"/>
              <w:jc w:val="center"/>
              <w:rPr>
                <w:rFonts w:asciiTheme="minorEastAsia" w:hAnsiTheme="minorEastAsia" w:eastAsiaTheme="minorEastAsia"/>
              </w:rPr>
            </w:pPr>
            <w:r>
              <w:rPr>
                <w:rFonts w:hint="eastAsia" w:asciiTheme="minorEastAsia" w:hAnsiTheme="minorEastAsia" w:eastAsiaTheme="minorEastAsia"/>
              </w:rPr>
              <w:t>备注</w:t>
            </w:r>
          </w:p>
        </w:tc>
      </w:tr>
      <w:tr w14:paraId="0D27C0F0">
        <w:tblPrEx>
          <w:tblCellMar>
            <w:top w:w="0" w:type="dxa"/>
            <w:left w:w="10" w:type="dxa"/>
            <w:bottom w:w="0" w:type="dxa"/>
            <w:right w:w="10" w:type="dxa"/>
          </w:tblCellMar>
        </w:tblPrEx>
        <w:trPr>
          <w:trHeight w:val="624" w:hRule="exact"/>
        </w:trPr>
        <w:tc>
          <w:tcPr>
            <w:tcW w:w="683" w:type="pct"/>
            <w:tcBorders>
              <w:top w:val="single" w:color="auto" w:sz="4" w:space="0"/>
              <w:left w:val="single" w:color="auto" w:sz="4" w:space="0"/>
            </w:tcBorders>
            <w:shd w:val="clear" w:color="auto" w:fill="FFFFFF"/>
            <w:vAlign w:val="center"/>
          </w:tcPr>
          <w:p w14:paraId="1ABEE325">
            <w:pPr>
              <w:spacing w:line="360" w:lineRule="auto"/>
              <w:jc w:val="center"/>
              <w:rPr>
                <w:rFonts w:asciiTheme="minorEastAsia" w:hAnsiTheme="minorEastAsia" w:eastAsiaTheme="minorEastAsia"/>
              </w:rPr>
            </w:pPr>
            <w:r>
              <w:rPr>
                <w:rFonts w:asciiTheme="minorEastAsia" w:hAnsiTheme="minorEastAsia" w:eastAsiaTheme="minorEastAsia"/>
              </w:rPr>
              <w:t>1</w:t>
            </w:r>
          </w:p>
        </w:tc>
        <w:tc>
          <w:tcPr>
            <w:tcW w:w="1737" w:type="pct"/>
            <w:tcBorders>
              <w:top w:val="single" w:color="auto" w:sz="4" w:space="0"/>
              <w:left w:val="single" w:color="auto" w:sz="4" w:space="0"/>
            </w:tcBorders>
            <w:shd w:val="clear" w:color="auto" w:fill="FFFFFF"/>
            <w:vAlign w:val="center"/>
          </w:tcPr>
          <w:p w14:paraId="281CCD72">
            <w:pPr>
              <w:spacing w:line="360" w:lineRule="auto"/>
              <w:jc w:val="center"/>
              <w:rPr>
                <w:rFonts w:asciiTheme="minorEastAsia" w:hAnsiTheme="minorEastAsia" w:eastAsiaTheme="minorEastAsia"/>
              </w:rPr>
            </w:pPr>
            <w:r>
              <w:rPr>
                <w:rFonts w:hint="eastAsia" w:asciiTheme="minorEastAsia" w:hAnsiTheme="minorEastAsia" w:eastAsiaTheme="minorEastAsia"/>
              </w:rPr>
              <w:t>总监理工程师</w:t>
            </w:r>
          </w:p>
        </w:tc>
        <w:tc>
          <w:tcPr>
            <w:tcW w:w="1560" w:type="pct"/>
            <w:tcBorders>
              <w:top w:val="single" w:color="auto" w:sz="4" w:space="0"/>
              <w:left w:val="single" w:color="auto" w:sz="4" w:space="0"/>
            </w:tcBorders>
            <w:shd w:val="clear" w:color="auto" w:fill="FFFFFF"/>
            <w:vAlign w:val="center"/>
          </w:tcPr>
          <w:p w14:paraId="7402616F">
            <w:pPr>
              <w:spacing w:line="360" w:lineRule="auto"/>
              <w:rPr>
                <w:rFonts w:asciiTheme="minorEastAsia" w:hAnsiTheme="minorEastAsia" w:eastAsiaTheme="minorEastAsia"/>
              </w:rPr>
            </w:pPr>
            <w:r>
              <w:rPr>
                <w:rFonts w:hint="eastAsia" w:asciiTheme="minorEastAsia" w:hAnsiTheme="minorEastAsia" w:eastAsiaTheme="minorEastAsia"/>
              </w:rPr>
              <w:t>姓名：</w:t>
            </w:r>
          </w:p>
        </w:tc>
        <w:tc>
          <w:tcPr>
            <w:tcW w:w="1020" w:type="pct"/>
            <w:tcBorders>
              <w:top w:val="single" w:color="auto" w:sz="4" w:space="0"/>
              <w:left w:val="single" w:color="auto" w:sz="4" w:space="0"/>
              <w:right w:val="single" w:color="auto" w:sz="4" w:space="0"/>
            </w:tcBorders>
            <w:shd w:val="clear" w:color="auto" w:fill="FFFFFF"/>
          </w:tcPr>
          <w:p w14:paraId="1A60C30E">
            <w:pPr>
              <w:spacing w:line="360" w:lineRule="auto"/>
              <w:rPr>
                <w:rFonts w:asciiTheme="minorEastAsia" w:hAnsiTheme="minorEastAsia" w:eastAsiaTheme="minorEastAsia"/>
              </w:rPr>
            </w:pPr>
          </w:p>
        </w:tc>
      </w:tr>
      <w:tr w14:paraId="3FA294A4">
        <w:tblPrEx>
          <w:tblCellMar>
            <w:top w:w="0" w:type="dxa"/>
            <w:left w:w="10" w:type="dxa"/>
            <w:bottom w:w="0" w:type="dxa"/>
            <w:right w:w="10" w:type="dxa"/>
          </w:tblCellMar>
        </w:tblPrEx>
        <w:trPr>
          <w:trHeight w:val="624" w:hRule="exact"/>
        </w:trPr>
        <w:tc>
          <w:tcPr>
            <w:tcW w:w="683" w:type="pct"/>
            <w:tcBorders>
              <w:top w:val="single" w:color="auto" w:sz="4" w:space="0"/>
              <w:left w:val="single" w:color="auto" w:sz="4" w:space="0"/>
            </w:tcBorders>
            <w:shd w:val="clear" w:color="auto" w:fill="FFFFFF"/>
            <w:vAlign w:val="center"/>
          </w:tcPr>
          <w:p w14:paraId="49216A4A">
            <w:pPr>
              <w:spacing w:line="360" w:lineRule="auto"/>
              <w:jc w:val="center"/>
              <w:rPr>
                <w:rFonts w:asciiTheme="minorEastAsia" w:hAnsiTheme="minorEastAsia" w:eastAsiaTheme="minorEastAsia"/>
              </w:rPr>
            </w:pPr>
            <w:r>
              <w:rPr>
                <w:rFonts w:asciiTheme="minorEastAsia" w:hAnsiTheme="minorEastAsia" w:eastAsiaTheme="minorEastAsia"/>
              </w:rPr>
              <w:t>2</w:t>
            </w:r>
          </w:p>
        </w:tc>
        <w:tc>
          <w:tcPr>
            <w:tcW w:w="1737" w:type="pct"/>
            <w:tcBorders>
              <w:top w:val="single" w:color="auto" w:sz="4" w:space="0"/>
              <w:left w:val="single" w:color="auto" w:sz="4" w:space="0"/>
            </w:tcBorders>
            <w:shd w:val="clear" w:color="auto" w:fill="FFFFFF"/>
            <w:vAlign w:val="center"/>
          </w:tcPr>
          <w:p w14:paraId="21F76E14">
            <w:pPr>
              <w:spacing w:line="360" w:lineRule="auto"/>
              <w:jc w:val="center"/>
              <w:rPr>
                <w:rFonts w:asciiTheme="minorEastAsia" w:hAnsiTheme="minorEastAsia" w:eastAsiaTheme="minorEastAsia"/>
              </w:rPr>
            </w:pPr>
            <w:r>
              <w:rPr>
                <w:rFonts w:hint="eastAsia" w:asciiTheme="minorEastAsia" w:hAnsiTheme="minorEastAsia" w:eastAsiaTheme="minorEastAsia"/>
              </w:rPr>
              <w:t>监理服务期限</w:t>
            </w:r>
          </w:p>
        </w:tc>
        <w:tc>
          <w:tcPr>
            <w:tcW w:w="1560" w:type="pct"/>
            <w:tcBorders>
              <w:top w:val="single" w:color="auto" w:sz="4" w:space="0"/>
              <w:left w:val="single" w:color="auto" w:sz="4" w:space="0"/>
            </w:tcBorders>
            <w:shd w:val="clear" w:color="auto" w:fill="FFFFFF"/>
            <w:vAlign w:val="center"/>
          </w:tcPr>
          <w:p w14:paraId="2C46BCE6">
            <w:pPr>
              <w:spacing w:line="360" w:lineRule="auto"/>
              <w:rPr>
                <w:rFonts w:asciiTheme="minorEastAsia" w:hAnsiTheme="minorEastAsia" w:eastAsiaTheme="minorEastAsia"/>
              </w:rPr>
            </w:pPr>
            <w:r>
              <w:rPr>
                <w:rFonts w:hint="eastAsia" w:asciiTheme="minorEastAsia" w:hAnsiTheme="minorEastAsia" w:eastAsiaTheme="minorEastAsia"/>
                <w:color w:val="auto"/>
                <w:lang w:val="en-US"/>
              </w:rPr>
              <w:t>天数：</w:t>
            </w:r>
            <w:r>
              <w:rPr>
                <w:rFonts w:hint="eastAsia" w:asciiTheme="minorEastAsia" w:hAnsiTheme="minorEastAsia" w:eastAsiaTheme="minorEastAsia"/>
                <w:color w:val="auto"/>
                <w:u w:val="single"/>
                <w:lang w:val="en-US"/>
              </w:rPr>
              <w:t xml:space="preserve">      </w:t>
            </w:r>
            <w:r>
              <w:rPr>
                <w:rFonts w:hint="eastAsia" w:asciiTheme="minorEastAsia" w:hAnsiTheme="minorEastAsia" w:eastAsiaTheme="minorEastAsia"/>
                <w:color w:val="auto"/>
                <w:lang w:val="en-US"/>
              </w:rPr>
              <w:t>日历月</w:t>
            </w:r>
          </w:p>
        </w:tc>
        <w:tc>
          <w:tcPr>
            <w:tcW w:w="1020" w:type="pct"/>
            <w:tcBorders>
              <w:top w:val="single" w:color="auto" w:sz="4" w:space="0"/>
              <w:left w:val="single" w:color="auto" w:sz="4" w:space="0"/>
              <w:right w:val="single" w:color="auto" w:sz="4" w:space="0"/>
            </w:tcBorders>
            <w:shd w:val="clear" w:color="auto" w:fill="FFFFFF"/>
          </w:tcPr>
          <w:p w14:paraId="30C98FE8">
            <w:pPr>
              <w:spacing w:line="360" w:lineRule="auto"/>
              <w:rPr>
                <w:rFonts w:asciiTheme="minorEastAsia" w:hAnsiTheme="minorEastAsia" w:eastAsiaTheme="minorEastAsia"/>
              </w:rPr>
            </w:pPr>
          </w:p>
        </w:tc>
      </w:tr>
      <w:tr w14:paraId="764A3B2D">
        <w:tblPrEx>
          <w:tblCellMar>
            <w:top w:w="0" w:type="dxa"/>
            <w:left w:w="10" w:type="dxa"/>
            <w:bottom w:w="0" w:type="dxa"/>
            <w:right w:w="10" w:type="dxa"/>
          </w:tblCellMar>
        </w:tblPrEx>
        <w:trPr>
          <w:trHeight w:val="624" w:hRule="exact"/>
        </w:trPr>
        <w:tc>
          <w:tcPr>
            <w:tcW w:w="683" w:type="pct"/>
            <w:tcBorders>
              <w:top w:val="single" w:color="auto" w:sz="4" w:space="0"/>
              <w:left w:val="single" w:color="auto" w:sz="4" w:space="0"/>
            </w:tcBorders>
            <w:shd w:val="clear" w:color="auto" w:fill="FFFFFF"/>
            <w:vAlign w:val="center"/>
          </w:tcPr>
          <w:p w14:paraId="5B2D3DDB">
            <w:pPr>
              <w:spacing w:line="360" w:lineRule="auto"/>
              <w:jc w:val="center"/>
              <w:rPr>
                <w:rFonts w:asciiTheme="minorEastAsia" w:hAnsiTheme="minorEastAsia" w:eastAsiaTheme="minorEastAsia"/>
              </w:rPr>
            </w:pPr>
            <w:r>
              <w:rPr>
                <w:rFonts w:asciiTheme="minorEastAsia" w:hAnsiTheme="minorEastAsia" w:eastAsiaTheme="minorEastAsia"/>
              </w:rPr>
              <w:t>3</w:t>
            </w:r>
          </w:p>
        </w:tc>
        <w:tc>
          <w:tcPr>
            <w:tcW w:w="1737" w:type="pct"/>
            <w:tcBorders>
              <w:top w:val="single" w:color="auto" w:sz="4" w:space="0"/>
              <w:left w:val="single" w:color="auto" w:sz="4" w:space="0"/>
            </w:tcBorders>
            <w:shd w:val="clear" w:color="auto" w:fill="FFFFFF"/>
            <w:vAlign w:val="center"/>
          </w:tcPr>
          <w:p w14:paraId="71AAD212">
            <w:pPr>
              <w:spacing w:line="360" w:lineRule="auto"/>
              <w:jc w:val="center"/>
              <w:rPr>
                <w:rFonts w:asciiTheme="minorEastAsia" w:hAnsiTheme="minorEastAsia" w:eastAsiaTheme="minorEastAsia"/>
              </w:rPr>
            </w:pPr>
            <w:r>
              <w:rPr>
                <w:rFonts w:hint="eastAsia" w:asciiTheme="minorEastAsia" w:hAnsiTheme="minorEastAsia" w:eastAsiaTheme="minorEastAsia"/>
              </w:rPr>
              <w:t>合同价款确定方式</w:t>
            </w:r>
          </w:p>
        </w:tc>
        <w:tc>
          <w:tcPr>
            <w:tcW w:w="1560" w:type="pct"/>
            <w:tcBorders>
              <w:top w:val="single" w:color="auto" w:sz="4" w:space="0"/>
              <w:left w:val="single" w:color="auto" w:sz="4" w:space="0"/>
            </w:tcBorders>
            <w:shd w:val="clear" w:color="auto" w:fill="FFFFFF"/>
          </w:tcPr>
          <w:p w14:paraId="414A02BC">
            <w:pPr>
              <w:spacing w:line="360" w:lineRule="auto"/>
              <w:jc w:val="center"/>
              <w:rPr>
                <w:rFonts w:asciiTheme="minorEastAsia" w:hAnsiTheme="minorEastAsia" w:eastAsiaTheme="minorEastAsia"/>
              </w:rPr>
            </w:pPr>
          </w:p>
        </w:tc>
        <w:tc>
          <w:tcPr>
            <w:tcW w:w="1020" w:type="pct"/>
            <w:tcBorders>
              <w:top w:val="single" w:color="auto" w:sz="4" w:space="0"/>
              <w:left w:val="single" w:color="auto" w:sz="4" w:space="0"/>
              <w:right w:val="single" w:color="auto" w:sz="4" w:space="0"/>
            </w:tcBorders>
            <w:shd w:val="clear" w:color="auto" w:fill="FFFFFF"/>
          </w:tcPr>
          <w:p w14:paraId="4F57CC6C">
            <w:pPr>
              <w:spacing w:line="360" w:lineRule="auto"/>
              <w:rPr>
                <w:rFonts w:asciiTheme="minorEastAsia" w:hAnsiTheme="minorEastAsia" w:eastAsiaTheme="minorEastAsia"/>
              </w:rPr>
            </w:pPr>
          </w:p>
        </w:tc>
      </w:tr>
      <w:tr w14:paraId="4A47A532">
        <w:tblPrEx>
          <w:tblCellMar>
            <w:top w:w="0" w:type="dxa"/>
            <w:left w:w="10" w:type="dxa"/>
            <w:bottom w:w="0" w:type="dxa"/>
            <w:right w:w="10" w:type="dxa"/>
          </w:tblCellMar>
        </w:tblPrEx>
        <w:trPr>
          <w:trHeight w:val="624" w:hRule="exact"/>
        </w:trPr>
        <w:tc>
          <w:tcPr>
            <w:tcW w:w="683" w:type="pct"/>
            <w:tcBorders>
              <w:top w:val="single" w:color="auto" w:sz="4" w:space="0"/>
              <w:left w:val="single" w:color="auto" w:sz="4" w:space="0"/>
            </w:tcBorders>
            <w:shd w:val="clear" w:color="auto" w:fill="FFFFFF"/>
          </w:tcPr>
          <w:p w14:paraId="18CD156D">
            <w:pPr>
              <w:spacing w:line="360" w:lineRule="auto"/>
              <w:rPr>
                <w:rFonts w:asciiTheme="minorEastAsia" w:hAnsiTheme="minorEastAsia" w:eastAsiaTheme="minorEastAsia"/>
                <w:sz w:val="28"/>
                <w:szCs w:val="28"/>
              </w:rPr>
            </w:pPr>
          </w:p>
        </w:tc>
        <w:tc>
          <w:tcPr>
            <w:tcW w:w="1737" w:type="pct"/>
            <w:tcBorders>
              <w:top w:val="single" w:color="auto" w:sz="4" w:space="0"/>
              <w:left w:val="single" w:color="auto" w:sz="4" w:space="0"/>
            </w:tcBorders>
            <w:shd w:val="clear" w:color="auto" w:fill="FFFFFF"/>
          </w:tcPr>
          <w:p w14:paraId="0EBBB59E">
            <w:pPr>
              <w:spacing w:line="360" w:lineRule="auto"/>
              <w:rPr>
                <w:rFonts w:asciiTheme="minorEastAsia" w:hAnsiTheme="minorEastAsia" w:eastAsiaTheme="minorEastAsia"/>
                <w:sz w:val="28"/>
                <w:szCs w:val="28"/>
              </w:rPr>
            </w:pPr>
          </w:p>
        </w:tc>
        <w:tc>
          <w:tcPr>
            <w:tcW w:w="1560" w:type="pct"/>
            <w:tcBorders>
              <w:top w:val="single" w:color="auto" w:sz="4" w:space="0"/>
              <w:left w:val="single" w:color="auto" w:sz="4" w:space="0"/>
            </w:tcBorders>
            <w:shd w:val="clear" w:color="auto" w:fill="FFFFFF"/>
          </w:tcPr>
          <w:p w14:paraId="523318A8">
            <w:pPr>
              <w:spacing w:line="360" w:lineRule="auto"/>
              <w:rPr>
                <w:rFonts w:asciiTheme="minorEastAsia" w:hAnsiTheme="minorEastAsia" w:eastAsiaTheme="minorEastAsia"/>
                <w:sz w:val="28"/>
                <w:szCs w:val="28"/>
              </w:rPr>
            </w:pPr>
          </w:p>
        </w:tc>
        <w:tc>
          <w:tcPr>
            <w:tcW w:w="1020" w:type="pct"/>
            <w:tcBorders>
              <w:top w:val="single" w:color="auto" w:sz="4" w:space="0"/>
              <w:left w:val="single" w:color="auto" w:sz="4" w:space="0"/>
              <w:right w:val="single" w:color="auto" w:sz="4" w:space="0"/>
            </w:tcBorders>
            <w:shd w:val="clear" w:color="auto" w:fill="FFFFFF"/>
          </w:tcPr>
          <w:p w14:paraId="0D45CFF5">
            <w:pPr>
              <w:spacing w:line="360" w:lineRule="auto"/>
              <w:rPr>
                <w:rFonts w:asciiTheme="minorEastAsia" w:hAnsiTheme="minorEastAsia" w:eastAsiaTheme="minorEastAsia"/>
                <w:sz w:val="28"/>
                <w:szCs w:val="28"/>
              </w:rPr>
            </w:pPr>
          </w:p>
        </w:tc>
      </w:tr>
      <w:tr w14:paraId="1F0DFF3E">
        <w:tblPrEx>
          <w:tblCellMar>
            <w:top w:w="0" w:type="dxa"/>
            <w:left w:w="10" w:type="dxa"/>
            <w:bottom w:w="0" w:type="dxa"/>
            <w:right w:w="10" w:type="dxa"/>
          </w:tblCellMar>
        </w:tblPrEx>
        <w:trPr>
          <w:trHeight w:val="624" w:hRule="exact"/>
        </w:trPr>
        <w:tc>
          <w:tcPr>
            <w:tcW w:w="683" w:type="pct"/>
            <w:tcBorders>
              <w:top w:val="single" w:color="auto" w:sz="4" w:space="0"/>
              <w:left w:val="single" w:color="auto" w:sz="4" w:space="0"/>
              <w:bottom w:val="single" w:color="auto" w:sz="4" w:space="0"/>
            </w:tcBorders>
            <w:shd w:val="clear" w:color="auto" w:fill="FFFFFF"/>
          </w:tcPr>
          <w:p w14:paraId="39995C09">
            <w:pPr>
              <w:spacing w:line="360" w:lineRule="auto"/>
              <w:rPr>
                <w:rFonts w:asciiTheme="minorEastAsia" w:hAnsiTheme="minorEastAsia" w:eastAsiaTheme="minorEastAsia"/>
                <w:sz w:val="28"/>
                <w:szCs w:val="28"/>
              </w:rPr>
            </w:pPr>
          </w:p>
        </w:tc>
        <w:tc>
          <w:tcPr>
            <w:tcW w:w="1737" w:type="pct"/>
            <w:tcBorders>
              <w:top w:val="single" w:color="auto" w:sz="4" w:space="0"/>
              <w:left w:val="single" w:color="auto" w:sz="4" w:space="0"/>
              <w:bottom w:val="single" w:color="auto" w:sz="4" w:space="0"/>
            </w:tcBorders>
            <w:shd w:val="clear" w:color="auto" w:fill="FFFFFF"/>
          </w:tcPr>
          <w:p w14:paraId="4B6C9C30">
            <w:pPr>
              <w:spacing w:line="360" w:lineRule="auto"/>
              <w:rPr>
                <w:rFonts w:asciiTheme="minorEastAsia" w:hAnsiTheme="minorEastAsia" w:eastAsiaTheme="minorEastAsia"/>
                <w:sz w:val="28"/>
                <w:szCs w:val="28"/>
              </w:rPr>
            </w:pPr>
          </w:p>
        </w:tc>
        <w:tc>
          <w:tcPr>
            <w:tcW w:w="1560" w:type="pct"/>
            <w:tcBorders>
              <w:top w:val="single" w:color="auto" w:sz="4" w:space="0"/>
              <w:left w:val="single" w:color="auto" w:sz="4" w:space="0"/>
              <w:bottom w:val="single" w:color="auto" w:sz="4" w:space="0"/>
            </w:tcBorders>
            <w:shd w:val="clear" w:color="auto" w:fill="FFFFFF"/>
          </w:tcPr>
          <w:p w14:paraId="20B0ABE4">
            <w:pPr>
              <w:spacing w:line="360" w:lineRule="auto"/>
              <w:rPr>
                <w:rFonts w:asciiTheme="minorEastAsia" w:hAnsiTheme="minorEastAsia" w:eastAsiaTheme="minorEastAsia"/>
                <w:sz w:val="28"/>
                <w:szCs w:val="28"/>
              </w:rPr>
            </w:pPr>
          </w:p>
        </w:tc>
        <w:tc>
          <w:tcPr>
            <w:tcW w:w="1020" w:type="pct"/>
            <w:tcBorders>
              <w:top w:val="single" w:color="auto" w:sz="4" w:space="0"/>
              <w:left w:val="single" w:color="auto" w:sz="4" w:space="0"/>
              <w:bottom w:val="single" w:color="auto" w:sz="4" w:space="0"/>
              <w:right w:val="single" w:color="auto" w:sz="4" w:space="0"/>
            </w:tcBorders>
            <w:shd w:val="clear" w:color="auto" w:fill="FFFFFF"/>
          </w:tcPr>
          <w:p w14:paraId="34BF0420">
            <w:pPr>
              <w:spacing w:line="360" w:lineRule="auto"/>
              <w:rPr>
                <w:rFonts w:asciiTheme="minorEastAsia" w:hAnsiTheme="minorEastAsia" w:eastAsiaTheme="minorEastAsia"/>
                <w:sz w:val="28"/>
                <w:szCs w:val="28"/>
              </w:rPr>
            </w:pPr>
          </w:p>
        </w:tc>
      </w:tr>
    </w:tbl>
    <w:p w14:paraId="7705A92A">
      <w:pPr>
        <w:pStyle w:val="46"/>
        <w:shd w:val="clear" w:color="auto" w:fill="auto"/>
        <w:tabs>
          <w:tab w:val="left" w:leader="underscore" w:pos="7208"/>
        </w:tabs>
        <w:spacing w:before="434" w:line="360" w:lineRule="auto"/>
        <w:ind w:left="2600"/>
        <w:jc w:val="both"/>
        <w:rPr>
          <w:rFonts w:asciiTheme="minorEastAsia" w:hAnsiTheme="minorEastAsia" w:eastAsiaTheme="minorEastAsia"/>
          <w:sz w:val="24"/>
          <w:szCs w:val="24"/>
        </w:rPr>
      </w:pPr>
      <w:r>
        <w:rPr>
          <w:rStyle w:val="87"/>
          <w:rFonts w:hint="eastAsia" w:asciiTheme="minorEastAsia" w:hAnsiTheme="minorEastAsia" w:eastAsiaTheme="minorEastAsia"/>
          <w:sz w:val="24"/>
          <w:szCs w:val="24"/>
        </w:rPr>
        <w:t>投标人：</w:t>
      </w:r>
      <w:r>
        <w:rPr>
          <w:rFonts w:asciiTheme="minorEastAsia" w:hAnsiTheme="minorEastAsia" w:eastAsiaTheme="minorEastAsia"/>
          <w:sz w:val="24"/>
          <w:szCs w:val="24"/>
        </w:rPr>
        <w:tab/>
      </w:r>
      <w:r>
        <w:rPr>
          <w:rFonts w:asciiTheme="minorEastAsia" w:hAnsiTheme="minorEastAsia" w:eastAsiaTheme="minorEastAsia"/>
          <w:sz w:val="24"/>
          <w:szCs w:val="24"/>
        </w:rPr>
        <w:t>(</w:t>
      </w:r>
      <w:r>
        <w:rPr>
          <w:rFonts w:hint="eastAsia" w:asciiTheme="minorEastAsia" w:hAnsiTheme="minorEastAsia" w:eastAsiaTheme="minorEastAsia"/>
          <w:sz w:val="24"/>
          <w:szCs w:val="24"/>
        </w:rPr>
        <w:t>盖单位章）</w:t>
      </w:r>
    </w:p>
    <w:p w14:paraId="2F37A094">
      <w:pPr>
        <w:pStyle w:val="46"/>
        <w:shd w:val="clear" w:color="auto" w:fill="auto"/>
        <w:tabs>
          <w:tab w:val="left" w:leader="underscore" w:pos="7572"/>
        </w:tabs>
        <w:spacing w:before="0" w:line="360" w:lineRule="auto"/>
        <w:ind w:left="2600"/>
        <w:jc w:val="both"/>
        <w:rPr>
          <w:rFonts w:asciiTheme="minorEastAsia" w:hAnsiTheme="minorEastAsia" w:eastAsiaTheme="minorEastAsia"/>
          <w:sz w:val="24"/>
          <w:szCs w:val="24"/>
        </w:rPr>
      </w:pPr>
      <w:r>
        <w:rPr>
          <w:rFonts w:hint="eastAsia" w:asciiTheme="minorEastAsia" w:hAnsiTheme="minorEastAsia" w:eastAsiaTheme="minorEastAsia"/>
          <w:sz w:val="24"/>
          <w:szCs w:val="24"/>
        </w:rPr>
        <w:t>法定代表人或委托代理人：</w:t>
      </w:r>
      <w:r>
        <w:rPr>
          <w:rFonts w:asciiTheme="minorEastAsia" w:hAnsiTheme="minorEastAsia" w:eastAsiaTheme="minorEastAsia"/>
          <w:sz w:val="24"/>
          <w:szCs w:val="24"/>
        </w:rPr>
        <w:tab/>
      </w:r>
      <w:r>
        <w:rPr>
          <w:rFonts w:asciiTheme="minorEastAsia" w:hAnsiTheme="minorEastAsia" w:eastAsiaTheme="minorEastAsia"/>
          <w:sz w:val="24"/>
          <w:szCs w:val="24"/>
        </w:rPr>
        <w:t>(</w:t>
      </w:r>
      <w:r>
        <w:rPr>
          <w:rFonts w:hint="eastAsia" w:asciiTheme="minorEastAsia" w:hAnsiTheme="minorEastAsia" w:eastAsiaTheme="minorEastAsia"/>
          <w:sz w:val="24"/>
          <w:szCs w:val="24"/>
        </w:rPr>
        <w:t>签字</w:t>
      </w:r>
      <w:r>
        <w:rPr>
          <w:rFonts w:hint="eastAsia" w:asciiTheme="minorEastAsia" w:hAnsiTheme="minorEastAsia" w:eastAsiaTheme="minorEastAsia"/>
          <w:sz w:val="24"/>
          <w:szCs w:val="24"/>
          <w:lang w:val="en-US"/>
        </w:rPr>
        <w:t>）</w:t>
      </w:r>
    </w:p>
    <w:p w14:paraId="04180C09">
      <w:pPr>
        <w:pStyle w:val="46"/>
        <w:shd w:val="clear" w:color="auto" w:fill="auto"/>
        <w:tabs>
          <w:tab w:val="left" w:leader="underscore" w:pos="6818"/>
          <w:tab w:val="left" w:leader="underscore" w:pos="7586"/>
          <w:tab w:val="left" w:leader="underscore" w:pos="8498"/>
        </w:tabs>
        <w:spacing w:before="0" w:line="360" w:lineRule="auto"/>
        <w:ind w:left="6180"/>
        <w:jc w:val="both"/>
        <w:rPr>
          <w:rFonts w:asciiTheme="minorEastAsia" w:hAnsiTheme="minorEastAsia" w:eastAsiaTheme="minorEastAsia"/>
          <w:sz w:val="24"/>
          <w:szCs w:val="24"/>
        </w:rPr>
      </w:pPr>
      <w:r>
        <w:rPr>
          <w:rFonts w:asciiTheme="minorEastAsia" w:hAnsiTheme="minorEastAsia" w:eastAsiaTheme="minorEastAsia"/>
          <w:sz w:val="24"/>
          <w:szCs w:val="24"/>
        </w:rPr>
        <w:tab/>
      </w:r>
      <w:r>
        <w:rPr>
          <w:rFonts w:hint="eastAsia" w:asciiTheme="minorEastAsia" w:hAnsiTheme="minorEastAsia" w:eastAsiaTheme="minorEastAsia"/>
          <w:sz w:val="24"/>
          <w:szCs w:val="24"/>
        </w:rPr>
        <w:t>年</w:t>
      </w:r>
      <w:r>
        <w:rPr>
          <w:rFonts w:asciiTheme="minorEastAsia" w:hAnsiTheme="minorEastAsia" w:eastAsiaTheme="minorEastAsia"/>
          <w:sz w:val="24"/>
          <w:szCs w:val="24"/>
        </w:rPr>
        <w:tab/>
      </w:r>
      <w:r>
        <w:rPr>
          <w:rFonts w:hint="eastAsia" w:asciiTheme="minorEastAsia" w:hAnsiTheme="minorEastAsia" w:eastAsiaTheme="minorEastAsia"/>
          <w:sz w:val="24"/>
          <w:szCs w:val="24"/>
        </w:rPr>
        <w:t>月</w:t>
      </w:r>
      <w:r>
        <w:rPr>
          <w:rFonts w:asciiTheme="minorEastAsia" w:hAnsiTheme="minorEastAsia" w:eastAsiaTheme="minorEastAsia"/>
          <w:sz w:val="24"/>
          <w:szCs w:val="24"/>
        </w:rPr>
        <w:tab/>
      </w:r>
      <w:r>
        <w:rPr>
          <w:rFonts w:hint="eastAsia" w:asciiTheme="minorEastAsia" w:hAnsiTheme="minorEastAsia" w:eastAsiaTheme="minorEastAsia"/>
          <w:sz w:val="24"/>
          <w:szCs w:val="24"/>
        </w:rPr>
        <w:t>日</w:t>
      </w:r>
    </w:p>
    <w:p w14:paraId="29926693">
      <w:pPr>
        <w:autoSpaceDE w:val="0"/>
        <w:autoSpaceDN w:val="0"/>
        <w:adjustRightInd w:val="0"/>
        <w:spacing w:line="360" w:lineRule="auto"/>
        <w:rPr>
          <w:rFonts w:cs="宋体" w:asciiTheme="minorEastAsia" w:hAnsiTheme="minorEastAsia" w:eastAsiaTheme="minorEastAsia"/>
          <w:b/>
          <w:sz w:val="28"/>
          <w:szCs w:val="28"/>
        </w:rPr>
      </w:pPr>
      <w:r>
        <w:rPr>
          <w:rFonts w:hint="eastAsia" w:cs="宋体" w:asciiTheme="minorEastAsia" w:hAnsiTheme="minorEastAsia" w:eastAsiaTheme="minorEastAsia"/>
          <w:b/>
          <w:sz w:val="28"/>
          <w:szCs w:val="28"/>
        </w:rPr>
        <w:t>投标函附录二</w:t>
      </w:r>
    </w:p>
    <w:p w14:paraId="7075DCCE">
      <w:pPr>
        <w:jc w:val="center"/>
        <w:rPr>
          <w:rFonts w:cs="MingLiU" w:asciiTheme="minorEastAsia" w:hAnsiTheme="minorEastAsia" w:eastAsiaTheme="minorEastAsia"/>
          <w:b/>
          <w:bCs/>
          <w:sz w:val="28"/>
          <w:szCs w:val="28"/>
          <w:shd w:val="clear" w:color="auto" w:fill="FFFFFF"/>
          <w:lang w:val="zh-TW"/>
        </w:rPr>
      </w:pPr>
      <w:r>
        <w:rPr>
          <w:rStyle w:val="98"/>
          <w:rFonts w:hint="eastAsia" w:asciiTheme="minorEastAsia" w:hAnsiTheme="minorEastAsia" w:eastAsiaTheme="minorEastAsia"/>
          <w:b/>
          <w:bCs/>
          <w:sz w:val="28"/>
          <w:szCs w:val="28"/>
          <w:lang w:eastAsia="zh-CN"/>
        </w:rPr>
        <w:t>监理报酬清单</w:t>
      </w:r>
    </w:p>
    <w:tbl>
      <w:tblPr>
        <w:tblStyle w:val="23"/>
        <w:tblW w:w="0" w:type="auto"/>
        <w:tblInd w:w="0" w:type="dxa"/>
        <w:tblLayout w:type="fixed"/>
        <w:tblCellMar>
          <w:top w:w="0" w:type="dxa"/>
          <w:left w:w="10" w:type="dxa"/>
          <w:bottom w:w="0" w:type="dxa"/>
          <w:right w:w="10" w:type="dxa"/>
        </w:tblCellMar>
      </w:tblPr>
      <w:tblGrid>
        <w:gridCol w:w="821"/>
        <w:gridCol w:w="2414"/>
        <w:gridCol w:w="3002"/>
        <w:gridCol w:w="1276"/>
        <w:gridCol w:w="1257"/>
      </w:tblGrid>
      <w:tr w14:paraId="5891D965">
        <w:tblPrEx>
          <w:tblCellMar>
            <w:top w:w="0" w:type="dxa"/>
            <w:left w:w="10" w:type="dxa"/>
            <w:bottom w:w="0" w:type="dxa"/>
            <w:right w:w="10" w:type="dxa"/>
          </w:tblCellMar>
        </w:tblPrEx>
        <w:trPr>
          <w:trHeight w:val="567" w:hRule="exact"/>
        </w:trPr>
        <w:tc>
          <w:tcPr>
            <w:tcW w:w="821" w:type="dxa"/>
            <w:tcBorders>
              <w:top w:val="single" w:color="auto" w:sz="4" w:space="0"/>
              <w:left w:val="single" w:color="auto" w:sz="4" w:space="0"/>
            </w:tcBorders>
            <w:shd w:val="clear" w:color="auto" w:fill="FFFFFF"/>
            <w:vAlign w:val="center"/>
          </w:tcPr>
          <w:p w14:paraId="74A4CF02">
            <w:pPr>
              <w:autoSpaceDE w:val="0"/>
              <w:autoSpaceDN w:val="0"/>
              <w:adjustRightInd w:val="0"/>
              <w:spacing w:line="360" w:lineRule="auto"/>
              <w:jc w:val="center"/>
              <w:rPr>
                <w:rFonts w:cs="宋体" w:asciiTheme="minorEastAsia" w:hAnsiTheme="minorEastAsia" w:eastAsiaTheme="minorEastAsia"/>
                <w:lang w:val="en-US" w:eastAsia="zh-TW"/>
              </w:rPr>
            </w:pPr>
            <w:r>
              <w:rPr>
                <w:rFonts w:hint="eastAsia" w:cs="宋体" w:asciiTheme="minorEastAsia" w:hAnsiTheme="minorEastAsia" w:eastAsiaTheme="minorEastAsia"/>
                <w:lang w:val="en-US" w:eastAsia="zh-TW"/>
              </w:rPr>
              <w:t>序号</w:t>
            </w:r>
          </w:p>
        </w:tc>
        <w:tc>
          <w:tcPr>
            <w:tcW w:w="2414" w:type="dxa"/>
            <w:tcBorders>
              <w:top w:val="single" w:color="auto" w:sz="4" w:space="0"/>
              <w:left w:val="single" w:color="auto" w:sz="4" w:space="0"/>
            </w:tcBorders>
            <w:shd w:val="clear" w:color="auto" w:fill="FFFFFF"/>
            <w:vAlign w:val="center"/>
          </w:tcPr>
          <w:p w14:paraId="71A66973">
            <w:pPr>
              <w:autoSpaceDE w:val="0"/>
              <w:autoSpaceDN w:val="0"/>
              <w:adjustRightInd w:val="0"/>
              <w:spacing w:line="360" w:lineRule="auto"/>
              <w:jc w:val="center"/>
              <w:rPr>
                <w:rFonts w:cs="宋体" w:asciiTheme="minorEastAsia" w:hAnsiTheme="minorEastAsia" w:eastAsiaTheme="minorEastAsia"/>
                <w:lang w:val="en-US" w:eastAsia="zh-TW"/>
              </w:rPr>
            </w:pPr>
            <w:r>
              <w:rPr>
                <w:rFonts w:hint="eastAsia" w:cs="宋体" w:asciiTheme="minorEastAsia" w:hAnsiTheme="minorEastAsia" w:eastAsiaTheme="minorEastAsia"/>
                <w:lang w:val="en-US" w:eastAsia="zh-TW"/>
              </w:rPr>
              <w:t>监理报酬分项名称</w:t>
            </w:r>
          </w:p>
        </w:tc>
        <w:tc>
          <w:tcPr>
            <w:tcW w:w="3002" w:type="dxa"/>
            <w:tcBorders>
              <w:top w:val="single" w:color="auto" w:sz="4" w:space="0"/>
              <w:left w:val="single" w:color="auto" w:sz="4" w:space="0"/>
            </w:tcBorders>
            <w:shd w:val="clear" w:color="auto" w:fill="FFFFFF"/>
            <w:vAlign w:val="center"/>
          </w:tcPr>
          <w:p w14:paraId="18284602">
            <w:pPr>
              <w:autoSpaceDE w:val="0"/>
              <w:autoSpaceDN w:val="0"/>
              <w:adjustRightInd w:val="0"/>
              <w:spacing w:line="360" w:lineRule="auto"/>
              <w:jc w:val="center"/>
              <w:rPr>
                <w:rFonts w:cs="宋体" w:asciiTheme="minorEastAsia" w:hAnsiTheme="minorEastAsia" w:eastAsiaTheme="minorEastAsia"/>
                <w:lang w:val="en-US"/>
              </w:rPr>
            </w:pPr>
            <w:r>
              <w:rPr>
                <w:rFonts w:hint="eastAsia" w:cs="宋体" w:asciiTheme="minorEastAsia" w:hAnsiTheme="minorEastAsia" w:eastAsiaTheme="minorEastAsia"/>
                <w:lang w:val="en-US"/>
              </w:rPr>
              <w:t>计算依据、过程和公式</w:t>
            </w:r>
          </w:p>
        </w:tc>
        <w:tc>
          <w:tcPr>
            <w:tcW w:w="1276" w:type="dxa"/>
            <w:tcBorders>
              <w:top w:val="single" w:color="auto" w:sz="4" w:space="0"/>
              <w:left w:val="single" w:color="auto" w:sz="4" w:space="0"/>
            </w:tcBorders>
            <w:shd w:val="clear" w:color="auto" w:fill="FFFFFF"/>
            <w:vAlign w:val="center"/>
          </w:tcPr>
          <w:p w14:paraId="5C127D7C">
            <w:pPr>
              <w:autoSpaceDE w:val="0"/>
              <w:autoSpaceDN w:val="0"/>
              <w:adjustRightInd w:val="0"/>
              <w:spacing w:line="360" w:lineRule="auto"/>
              <w:jc w:val="center"/>
              <w:rPr>
                <w:rFonts w:cs="宋体" w:asciiTheme="minorEastAsia" w:hAnsiTheme="minorEastAsia" w:eastAsiaTheme="minorEastAsia"/>
                <w:lang w:val="en-US" w:eastAsia="zh-TW"/>
              </w:rPr>
            </w:pPr>
            <w:r>
              <w:rPr>
                <w:rFonts w:hint="eastAsia" w:cs="宋体" w:asciiTheme="minorEastAsia" w:hAnsiTheme="minorEastAsia" w:eastAsiaTheme="minorEastAsia"/>
                <w:lang w:val="en-US" w:eastAsia="zh-TW"/>
              </w:rPr>
              <w:t>金额（元）</w:t>
            </w:r>
          </w:p>
        </w:tc>
        <w:tc>
          <w:tcPr>
            <w:tcW w:w="1257" w:type="dxa"/>
            <w:tcBorders>
              <w:top w:val="single" w:color="auto" w:sz="4" w:space="0"/>
              <w:left w:val="single" w:color="auto" w:sz="4" w:space="0"/>
              <w:right w:val="single" w:color="auto" w:sz="4" w:space="0"/>
            </w:tcBorders>
            <w:shd w:val="clear" w:color="auto" w:fill="FFFFFF"/>
            <w:vAlign w:val="center"/>
          </w:tcPr>
          <w:p w14:paraId="4C64F82E">
            <w:pPr>
              <w:autoSpaceDE w:val="0"/>
              <w:autoSpaceDN w:val="0"/>
              <w:adjustRightInd w:val="0"/>
              <w:spacing w:line="360" w:lineRule="auto"/>
              <w:jc w:val="center"/>
              <w:rPr>
                <w:rFonts w:cs="宋体" w:asciiTheme="minorEastAsia" w:hAnsiTheme="minorEastAsia" w:eastAsiaTheme="minorEastAsia"/>
                <w:lang w:val="en-US" w:eastAsia="zh-TW"/>
              </w:rPr>
            </w:pPr>
            <w:r>
              <w:rPr>
                <w:rFonts w:hint="eastAsia" w:cs="宋体" w:asciiTheme="minorEastAsia" w:hAnsiTheme="minorEastAsia" w:eastAsiaTheme="minorEastAsia"/>
                <w:lang w:val="en-US" w:eastAsia="zh-TW"/>
              </w:rPr>
              <w:t>备注</w:t>
            </w:r>
          </w:p>
        </w:tc>
      </w:tr>
      <w:tr w14:paraId="6C0B21D4">
        <w:tblPrEx>
          <w:tblCellMar>
            <w:top w:w="0" w:type="dxa"/>
            <w:left w:w="10" w:type="dxa"/>
            <w:bottom w:w="0" w:type="dxa"/>
            <w:right w:w="10" w:type="dxa"/>
          </w:tblCellMar>
        </w:tblPrEx>
        <w:trPr>
          <w:trHeight w:val="567" w:hRule="exact"/>
        </w:trPr>
        <w:tc>
          <w:tcPr>
            <w:tcW w:w="821" w:type="dxa"/>
            <w:tcBorders>
              <w:top w:val="single" w:color="auto" w:sz="4" w:space="0"/>
              <w:left w:val="single" w:color="auto" w:sz="4" w:space="0"/>
            </w:tcBorders>
            <w:shd w:val="clear" w:color="auto" w:fill="FFFFFF"/>
            <w:vAlign w:val="center"/>
          </w:tcPr>
          <w:p w14:paraId="6E4DEBFA">
            <w:pPr>
              <w:autoSpaceDE w:val="0"/>
              <w:autoSpaceDN w:val="0"/>
              <w:adjustRightInd w:val="0"/>
              <w:spacing w:line="360" w:lineRule="auto"/>
              <w:jc w:val="center"/>
              <w:rPr>
                <w:rFonts w:cs="宋体" w:asciiTheme="minorEastAsia" w:hAnsiTheme="minorEastAsia" w:eastAsiaTheme="minorEastAsia"/>
                <w:lang w:val="en-US" w:eastAsia="zh-TW"/>
              </w:rPr>
            </w:pPr>
            <w:r>
              <w:rPr>
                <w:rFonts w:cs="宋体" w:asciiTheme="minorEastAsia" w:hAnsiTheme="minorEastAsia" w:eastAsiaTheme="minorEastAsia"/>
                <w:lang w:val="en-US" w:eastAsia="zh-TW"/>
              </w:rPr>
              <w:t>1</w:t>
            </w:r>
          </w:p>
        </w:tc>
        <w:tc>
          <w:tcPr>
            <w:tcW w:w="2414" w:type="dxa"/>
            <w:tcBorders>
              <w:top w:val="single" w:color="auto" w:sz="4" w:space="0"/>
              <w:left w:val="single" w:color="auto" w:sz="4" w:space="0"/>
            </w:tcBorders>
            <w:shd w:val="clear" w:color="auto" w:fill="FFFFFF"/>
          </w:tcPr>
          <w:p w14:paraId="3E62D26D">
            <w:pPr>
              <w:autoSpaceDE w:val="0"/>
              <w:autoSpaceDN w:val="0"/>
              <w:adjustRightInd w:val="0"/>
              <w:spacing w:line="360" w:lineRule="auto"/>
              <w:jc w:val="center"/>
              <w:rPr>
                <w:rFonts w:cs="宋体" w:asciiTheme="minorEastAsia" w:hAnsiTheme="minorEastAsia" w:eastAsiaTheme="minorEastAsia"/>
                <w:lang w:val="en-US" w:eastAsia="zh-TW"/>
              </w:rPr>
            </w:pPr>
          </w:p>
        </w:tc>
        <w:tc>
          <w:tcPr>
            <w:tcW w:w="3002" w:type="dxa"/>
            <w:tcBorders>
              <w:top w:val="single" w:color="auto" w:sz="4" w:space="0"/>
              <w:left w:val="single" w:color="auto" w:sz="4" w:space="0"/>
            </w:tcBorders>
            <w:shd w:val="clear" w:color="auto" w:fill="FFFFFF"/>
          </w:tcPr>
          <w:p w14:paraId="702F7C22">
            <w:pPr>
              <w:autoSpaceDE w:val="0"/>
              <w:autoSpaceDN w:val="0"/>
              <w:adjustRightInd w:val="0"/>
              <w:spacing w:line="360" w:lineRule="auto"/>
              <w:jc w:val="center"/>
              <w:rPr>
                <w:rFonts w:cs="宋体" w:asciiTheme="minorEastAsia" w:hAnsiTheme="minorEastAsia" w:eastAsiaTheme="minorEastAsia"/>
                <w:lang w:val="en-US" w:eastAsia="zh-TW"/>
              </w:rPr>
            </w:pPr>
          </w:p>
        </w:tc>
        <w:tc>
          <w:tcPr>
            <w:tcW w:w="1276" w:type="dxa"/>
            <w:tcBorders>
              <w:top w:val="single" w:color="auto" w:sz="4" w:space="0"/>
              <w:left w:val="single" w:color="auto" w:sz="4" w:space="0"/>
            </w:tcBorders>
            <w:shd w:val="clear" w:color="auto" w:fill="FFFFFF"/>
          </w:tcPr>
          <w:p w14:paraId="68BA0AB4">
            <w:pPr>
              <w:autoSpaceDE w:val="0"/>
              <w:autoSpaceDN w:val="0"/>
              <w:adjustRightInd w:val="0"/>
              <w:spacing w:line="360" w:lineRule="auto"/>
              <w:jc w:val="center"/>
              <w:rPr>
                <w:rFonts w:cs="宋体" w:asciiTheme="minorEastAsia" w:hAnsiTheme="minorEastAsia" w:eastAsiaTheme="minorEastAsia"/>
                <w:lang w:val="en-US" w:eastAsia="zh-TW"/>
              </w:rPr>
            </w:pPr>
          </w:p>
        </w:tc>
        <w:tc>
          <w:tcPr>
            <w:tcW w:w="1257" w:type="dxa"/>
            <w:tcBorders>
              <w:top w:val="single" w:color="auto" w:sz="4" w:space="0"/>
              <w:left w:val="single" w:color="auto" w:sz="4" w:space="0"/>
              <w:right w:val="single" w:color="auto" w:sz="4" w:space="0"/>
            </w:tcBorders>
            <w:shd w:val="clear" w:color="auto" w:fill="FFFFFF"/>
          </w:tcPr>
          <w:p w14:paraId="44397A06">
            <w:pPr>
              <w:autoSpaceDE w:val="0"/>
              <w:autoSpaceDN w:val="0"/>
              <w:adjustRightInd w:val="0"/>
              <w:spacing w:line="360" w:lineRule="auto"/>
              <w:jc w:val="center"/>
              <w:rPr>
                <w:rFonts w:cs="宋体" w:asciiTheme="minorEastAsia" w:hAnsiTheme="minorEastAsia" w:eastAsiaTheme="minorEastAsia"/>
                <w:lang w:val="en-US" w:eastAsia="zh-TW"/>
              </w:rPr>
            </w:pPr>
          </w:p>
        </w:tc>
      </w:tr>
      <w:tr w14:paraId="47510F20">
        <w:tblPrEx>
          <w:tblCellMar>
            <w:top w:w="0" w:type="dxa"/>
            <w:left w:w="10" w:type="dxa"/>
            <w:bottom w:w="0" w:type="dxa"/>
            <w:right w:w="10" w:type="dxa"/>
          </w:tblCellMar>
        </w:tblPrEx>
        <w:trPr>
          <w:trHeight w:val="567" w:hRule="exact"/>
        </w:trPr>
        <w:tc>
          <w:tcPr>
            <w:tcW w:w="821" w:type="dxa"/>
            <w:tcBorders>
              <w:top w:val="single" w:color="auto" w:sz="4" w:space="0"/>
              <w:left w:val="single" w:color="auto" w:sz="4" w:space="0"/>
            </w:tcBorders>
            <w:shd w:val="clear" w:color="auto" w:fill="FFFFFF"/>
            <w:vAlign w:val="center"/>
          </w:tcPr>
          <w:p w14:paraId="021DA034">
            <w:pPr>
              <w:autoSpaceDE w:val="0"/>
              <w:autoSpaceDN w:val="0"/>
              <w:adjustRightInd w:val="0"/>
              <w:spacing w:line="360" w:lineRule="auto"/>
              <w:jc w:val="center"/>
              <w:rPr>
                <w:rFonts w:cs="宋体" w:asciiTheme="minorEastAsia" w:hAnsiTheme="minorEastAsia" w:eastAsiaTheme="minorEastAsia"/>
                <w:lang w:val="en-US" w:eastAsia="zh-TW"/>
              </w:rPr>
            </w:pPr>
            <w:r>
              <w:rPr>
                <w:rFonts w:cs="宋体" w:asciiTheme="minorEastAsia" w:hAnsiTheme="minorEastAsia" w:eastAsiaTheme="minorEastAsia"/>
                <w:lang w:val="en-US" w:eastAsia="zh-TW"/>
              </w:rPr>
              <w:t>2</w:t>
            </w:r>
          </w:p>
        </w:tc>
        <w:tc>
          <w:tcPr>
            <w:tcW w:w="2414" w:type="dxa"/>
            <w:tcBorders>
              <w:top w:val="single" w:color="auto" w:sz="4" w:space="0"/>
              <w:left w:val="single" w:color="auto" w:sz="4" w:space="0"/>
            </w:tcBorders>
            <w:shd w:val="clear" w:color="auto" w:fill="FFFFFF"/>
          </w:tcPr>
          <w:p w14:paraId="4597AACE">
            <w:pPr>
              <w:autoSpaceDE w:val="0"/>
              <w:autoSpaceDN w:val="0"/>
              <w:adjustRightInd w:val="0"/>
              <w:spacing w:line="360" w:lineRule="auto"/>
              <w:jc w:val="center"/>
              <w:rPr>
                <w:rFonts w:cs="宋体" w:asciiTheme="minorEastAsia" w:hAnsiTheme="minorEastAsia" w:eastAsiaTheme="minorEastAsia"/>
                <w:lang w:val="en-US" w:eastAsia="zh-TW"/>
              </w:rPr>
            </w:pPr>
          </w:p>
        </w:tc>
        <w:tc>
          <w:tcPr>
            <w:tcW w:w="3002" w:type="dxa"/>
            <w:tcBorders>
              <w:top w:val="single" w:color="auto" w:sz="4" w:space="0"/>
              <w:left w:val="single" w:color="auto" w:sz="4" w:space="0"/>
            </w:tcBorders>
            <w:shd w:val="clear" w:color="auto" w:fill="FFFFFF"/>
          </w:tcPr>
          <w:p w14:paraId="6680785A">
            <w:pPr>
              <w:autoSpaceDE w:val="0"/>
              <w:autoSpaceDN w:val="0"/>
              <w:adjustRightInd w:val="0"/>
              <w:spacing w:line="360" w:lineRule="auto"/>
              <w:jc w:val="center"/>
              <w:rPr>
                <w:rFonts w:cs="宋体" w:asciiTheme="minorEastAsia" w:hAnsiTheme="minorEastAsia" w:eastAsiaTheme="minorEastAsia"/>
                <w:lang w:val="en-US" w:eastAsia="zh-TW"/>
              </w:rPr>
            </w:pPr>
          </w:p>
        </w:tc>
        <w:tc>
          <w:tcPr>
            <w:tcW w:w="1276" w:type="dxa"/>
            <w:tcBorders>
              <w:top w:val="single" w:color="auto" w:sz="4" w:space="0"/>
              <w:left w:val="single" w:color="auto" w:sz="4" w:space="0"/>
            </w:tcBorders>
            <w:shd w:val="clear" w:color="auto" w:fill="FFFFFF"/>
          </w:tcPr>
          <w:p w14:paraId="69960B88">
            <w:pPr>
              <w:autoSpaceDE w:val="0"/>
              <w:autoSpaceDN w:val="0"/>
              <w:adjustRightInd w:val="0"/>
              <w:spacing w:line="360" w:lineRule="auto"/>
              <w:jc w:val="center"/>
              <w:rPr>
                <w:rFonts w:cs="宋体" w:asciiTheme="minorEastAsia" w:hAnsiTheme="minorEastAsia" w:eastAsiaTheme="minorEastAsia"/>
                <w:lang w:val="en-US" w:eastAsia="zh-TW"/>
              </w:rPr>
            </w:pPr>
          </w:p>
        </w:tc>
        <w:tc>
          <w:tcPr>
            <w:tcW w:w="1257" w:type="dxa"/>
            <w:tcBorders>
              <w:top w:val="single" w:color="auto" w:sz="4" w:space="0"/>
              <w:left w:val="single" w:color="auto" w:sz="4" w:space="0"/>
              <w:right w:val="single" w:color="auto" w:sz="4" w:space="0"/>
            </w:tcBorders>
            <w:shd w:val="clear" w:color="auto" w:fill="FFFFFF"/>
          </w:tcPr>
          <w:p w14:paraId="3C453D65">
            <w:pPr>
              <w:autoSpaceDE w:val="0"/>
              <w:autoSpaceDN w:val="0"/>
              <w:adjustRightInd w:val="0"/>
              <w:spacing w:line="360" w:lineRule="auto"/>
              <w:jc w:val="center"/>
              <w:rPr>
                <w:rFonts w:cs="宋体" w:asciiTheme="minorEastAsia" w:hAnsiTheme="minorEastAsia" w:eastAsiaTheme="minorEastAsia"/>
                <w:lang w:val="en-US" w:eastAsia="zh-TW"/>
              </w:rPr>
            </w:pPr>
          </w:p>
        </w:tc>
      </w:tr>
      <w:tr w14:paraId="2FA9C46C">
        <w:tblPrEx>
          <w:tblCellMar>
            <w:top w:w="0" w:type="dxa"/>
            <w:left w:w="10" w:type="dxa"/>
            <w:bottom w:w="0" w:type="dxa"/>
            <w:right w:w="10" w:type="dxa"/>
          </w:tblCellMar>
        </w:tblPrEx>
        <w:trPr>
          <w:trHeight w:val="567" w:hRule="exact"/>
        </w:trPr>
        <w:tc>
          <w:tcPr>
            <w:tcW w:w="821" w:type="dxa"/>
            <w:tcBorders>
              <w:top w:val="single" w:color="auto" w:sz="4" w:space="0"/>
              <w:left w:val="single" w:color="auto" w:sz="4" w:space="0"/>
            </w:tcBorders>
            <w:shd w:val="clear" w:color="auto" w:fill="FFFFFF"/>
          </w:tcPr>
          <w:p w14:paraId="0BBE2AC0">
            <w:pPr>
              <w:autoSpaceDE w:val="0"/>
              <w:autoSpaceDN w:val="0"/>
              <w:adjustRightInd w:val="0"/>
              <w:spacing w:line="360" w:lineRule="auto"/>
              <w:jc w:val="center"/>
              <w:rPr>
                <w:rFonts w:cs="宋体" w:asciiTheme="minorEastAsia" w:hAnsiTheme="minorEastAsia" w:eastAsiaTheme="minorEastAsia"/>
                <w:lang w:val="en-US" w:eastAsia="zh-TW"/>
              </w:rPr>
            </w:pPr>
            <w:r>
              <w:rPr>
                <w:rFonts w:cs="宋体" w:asciiTheme="minorEastAsia" w:hAnsiTheme="minorEastAsia" w:eastAsiaTheme="minorEastAsia"/>
                <w:lang w:val="en-US" w:eastAsia="zh-TW"/>
              </w:rPr>
              <w:t>3</w:t>
            </w:r>
          </w:p>
        </w:tc>
        <w:tc>
          <w:tcPr>
            <w:tcW w:w="2414" w:type="dxa"/>
            <w:tcBorders>
              <w:top w:val="single" w:color="auto" w:sz="4" w:space="0"/>
              <w:left w:val="single" w:color="auto" w:sz="4" w:space="0"/>
            </w:tcBorders>
            <w:shd w:val="clear" w:color="auto" w:fill="FFFFFF"/>
          </w:tcPr>
          <w:p w14:paraId="197ABF59">
            <w:pPr>
              <w:autoSpaceDE w:val="0"/>
              <w:autoSpaceDN w:val="0"/>
              <w:adjustRightInd w:val="0"/>
              <w:spacing w:line="360" w:lineRule="auto"/>
              <w:jc w:val="center"/>
              <w:rPr>
                <w:rFonts w:cs="宋体" w:asciiTheme="minorEastAsia" w:hAnsiTheme="minorEastAsia" w:eastAsiaTheme="minorEastAsia"/>
                <w:lang w:val="en-US" w:eastAsia="zh-TW"/>
              </w:rPr>
            </w:pPr>
          </w:p>
        </w:tc>
        <w:tc>
          <w:tcPr>
            <w:tcW w:w="3002" w:type="dxa"/>
            <w:tcBorders>
              <w:top w:val="single" w:color="auto" w:sz="4" w:space="0"/>
              <w:left w:val="single" w:color="auto" w:sz="4" w:space="0"/>
            </w:tcBorders>
            <w:shd w:val="clear" w:color="auto" w:fill="FFFFFF"/>
          </w:tcPr>
          <w:p w14:paraId="150B8AA2">
            <w:pPr>
              <w:autoSpaceDE w:val="0"/>
              <w:autoSpaceDN w:val="0"/>
              <w:adjustRightInd w:val="0"/>
              <w:spacing w:line="360" w:lineRule="auto"/>
              <w:jc w:val="center"/>
              <w:rPr>
                <w:rFonts w:cs="宋体" w:asciiTheme="minorEastAsia" w:hAnsiTheme="minorEastAsia" w:eastAsiaTheme="minorEastAsia"/>
                <w:lang w:val="en-US" w:eastAsia="zh-TW"/>
              </w:rPr>
            </w:pPr>
          </w:p>
        </w:tc>
        <w:tc>
          <w:tcPr>
            <w:tcW w:w="1276" w:type="dxa"/>
            <w:tcBorders>
              <w:top w:val="single" w:color="auto" w:sz="4" w:space="0"/>
              <w:left w:val="single" w:color="auto" w:sz="4" w:space="0"/>
            </w:tcBorders>
            <w:shd w:val="clear" w:color="auto" w:fill="FFFFFF"/>
          </w:tcPr>
          <w:p w14:paraId="76D21F65">
            <w:pPr>
              <w:autoSpaceDE w:val="0"/>
              <w:autoSpaceDN w:val="0"/>
              <w:adjustRightInd w:val="0"/>
              <w:spacing w:line="360" w:lineRule="auto"/>
              <w:jc w:val="center"/>
              <w:rPr>
                <w:rFonts w:cs="宋体" w:asciiTheme="minorEastAsia" w:hAnsiTheme="minorEastAsia" w:eastAsiaTheme="minorEastAsia"/>
                <w:lang w:val="en-US" w:eastAsia="zh-TW"/>
              </w:rPr>
            </w:pPr>
          </w:p>
        </w:tc>
        <w:tc>
          <w:tcPr>
            <w:tcW w:w="1257" w:type="dxa"/>
            <w:tcBorders>
              <w:top w:val="single" w:color="auto" w:sz="4" w:space="0"/>
              <w:left w:val="single" w:color="auto" w:sz="4" w:space="0"/>
              <w:right w:val="single" w:color="auto" w:sz="4" w:space="0"/>
            </w:tcBorders>
            <w:shd w:val="clear" w:color="auto" w:fill="FFFFFF"/>
          </w:tcPr>
          <w:p w14:paraId="760B6EE2">
            <w:pPr>
              <w:autoSpaceDE w:val="0"/>
              <w:autoSpaceDN w:val="0"/>
              <w:adjustRightInd w:val="0"/>
              <w:spacing w:line="360" w:lineRule="auto"/>
              <w:jc w:val="center"/>
              <w:rPr>
                <w:rFonts w:cs="宋体" w:asciiTheme="minorEastAsia" w:hAnsiTheme="minorEastAsia" w:eastAsiaTheme="minorEastAsia"/>
                <w:lang w:val="en-US" w:eastAsia="zh-TW"/>
              </w:rPr>
            </w:pPr>
          </w:p>
        </w:tc>
      </w:tr>
      <w:tr w14:paraId="1FA54607">
        <w:tblPrEx>
          <w:tblCellMar>
            <w:top w:w="0" w:type="dxa"/>
            <w:left w:w="10" w:type="dxa"/>
            <w:bottom w:w="0" w:type="dxa"/>
            <w:right w:w="10" w:type="dxa"/>
          </w:tblCellMar>
        </w:tblPrEx>
        <w:trPr>
          <w:trHeight w:val="567" w:hRule="exact"/>
        </w:trPr>
        <w:tc>
          <w:tcPr>
            <w:tcW w:w="821" w:type="dxa"/>
            <w:tcBorders>
              <w:top w:val="single" w:color="auto" w:sz="4" w:space="0"/>
              <w:left w:val="single" w:color="auto" w:sz="4" w:space="0"/>
            </w:tcBorders>
            <w:shd w:val="clear" w:color="auto" w:fill="FFFFFF"/>
          </w:tcPr>
          <w:p w14:paraId="1EE12181">
            <w:pPr>
              <w:autoSpaceDE w:val="0"/>
              <w:autoSpaceDN w:val="0"/>
              <w:adjustRightInd w:val="0"/>
              <w:spacing w:line="360" w:lineRule="auto"/>
              <w:jc w:val="center"/>
              <w:rPr>
                <w:rFonts w:cs="宋体" w:asciiTheme="minorEastAsia" w:hAnsiTheme="minorEastAsia" w:eastAsiaTheme="minorEastAsia"/>
                <w:lang w:val="en-US" w:eastAsia="zh-TW"/>
              </w:rPr>
            </w:pPr>
            <w:r>
              <w:rPr>
                <w:rFonts w:cs="宋体" w:asciiTheme="minorEastAsia" w:hAnsiTheme="minorEastAsia" w:eastAsiaTheme="minorEastAsia"/>
                <w:lang w:val="en-US" w:eastAsia="zh-TW"/>
              </w:rPr>
              <w:t>4</w:t>
            </w:r>
          </w:p>
        </w:tc>
        <w:tc>
          <w:tcPr>
            <w:tcW w:w="2414" w:type="dxa"/>
            <w:tcBorders>
              <w:top w:val="single" w:color="auto" w:sz="4" w:space="0"/>
              <w:left w:val="single" w:color="auto" w:sz="4" w:space="0"/>
            </w:tcBorders>
            <w:shd w:val="clear" w:color="auto" w:fill="FFFFFF"/>
          </w:tcPr>
          <w:p w14:paraId="3DCF032B">
            <w:pPr>
              <w:autoSpaceDE w:val="0"/>
              <w:autoSpaceDN w:val="0"/>
              <w:adjustRightInd w:val="0"/>
              <w:spacing w:line="360" w:lineRule="auto"/>
              <w:jc w:val="center"/>
              <w:rPr>
                <w:rFonts w:cs="宋体" w:asciiTheme="minorEastAsia" w:hAnsiTheme="minorEastAsia" w:eastAsiaTheme="minorEastAsia"/>
                <w:lang w:val="en-US" w:eastAsia="zh-TW"/>
              </w:rPr>
            </w:pPr>
          </w:p>
        </w:tc>
        <w:tc>
          <w:tcPr>
            <w:tcW w:w="3002" w:type="dxa"/>
            <w:tcBorders>
              <w:top w:val="single" w:color="auto" w:sz="4" w:space="0"/>
              <w:left w:val="single" w:color="auto" w:sz="4" w:space="0"/>
            </w:tcBorders>
            <w:shd w:val="clear" w:color="auto" w:fill="FFFFFF"/>
          </w:tcPr>
          <w:p w14:paraId="49B95007">
            <w:pPr>
              <w:autoSpaceDE w:val="0"/>
              <w:autoSpaceDN w:val="0"/>
              <w:adjustRightInd w:val="0"/>
              <w:spacing w:line="360" w:lineRule="auto"/>
              <w:jc w:val="center"/>
              <w:rPr>
                <w:rFonts w:cs="宋体" w:asciiTheme="minorEastAsia" w:hAnsiTheme="minorEastAsia" w:eastAsiaTheme="minorEastAsia"/>
                <w:lang w:val="en-US" w:eastAsia="zh-TW"/>
              </w:rPr>
            </w:pPr>
          </w:p>
        </w:tc>
        <w:tc>
          <w:tcPr>
            <w:tcW w:w="1276" w:type="dxa"/>
            <w:tcBorders>
              <w:top w:val="single" w:color="auto" w:sz="4" w:space="0"/>
              <w:left w:val="single" w:color="auto" w:sz="4" w:space="0"/>
            </w:tcBorders>
            <w:shd w:val="clear" w:color="auto" w:fill="FFFFFF"/>
          </w:tcPr>
          <w:p w14:paraId="653FFA5A">
            <w:pPr>
              <w:autoSpaceDE w:val="0"/>
              <w:autoSpaceDN w:val="0"/>
              <w:adjustRightInd w:val="0"/>
              <w:spacing w:line="360" w:lineRule="auto"/>
              <w:jc w:val="center"/>
              <w:rPr>
                <w:rFonts w:cs="宋体" w:asciiTheme="minorEastAsia" w:hAnsiTheme="minorEastAsia" w:eastAsiaTheme="minorEastAsia"/>
                <w:lang w:val="en-US" w:eastAsia="zh-TW"/>
              </w:rPr>
            </w:pPr>
          </w:p>
        </w:tc>
        <w:tc>
          <w:tcPr>
            <w:tcW w:w="1257" w:type="dxa"/>
            <w:tcBorders>
              <w:top w:val="single" w:color="auto" w:sz="4" w:space="0"/>
              <w:left w:val="single" w:color="auto" w:sz="4" w:space="0"/>
              <w:right w:val="single" w:color="auto" w:sz="4" w:space="0"/>
            </w:tcBorders>
            <w:shd w:val="clear" w:color="auto" w:fill="FFFFFF"/>
          </w:tcPr>
          <w:p w14:paraId="6274386B">
            <w:pPr>
              <w:autoSpaceDE w:val="0"/>
              <w:autoSpaceDN w:val="0"/>
              <w:adjustRightInd w:val="0"/>
              <w:spacing w:line="360" w:lineRule="auto"/>
              <w:jc w:val="center"/>
              <w:rPr>
                <w:rFonts w:cs="宋体" w:asciiTheme="minorEastAsia" w:hAnsiTheme="minorEastAsia" w:eastAsiaTheme="minorEastAsia"/>
                <w:lang w:val="en-US" w:eastAsia="zh-TW"/>
              </w:rPr>
            </w:pPr>
          </w:p>
        </w:tc>
      </w:tr>
      <w:tr w14:paraId="2474FB58">
        <w:tblPrEx>
          <w:tblCellMar>
            <w:top w:w="0" w:type="dxa"/>
            <w:left w:w="10" w:type="dxa"/>
            <w:bottom w:w="0" w:type="dxa"/>
            <w:right w:w="10" w:type="dxa"/>
          </w:tblCellMar>
        </w:tblPrEx>
        <w:trPr>
          <w:trHeight w:val="567" w:hRule="exact"/>
        </w:trPr>
        <w:tc>
          <w:tcPr>
            <w:tcW w:w="821" w:type="dxa"/>
            <w:tcBorders>
              <w:top w:val="single" w:color="auto" w:sz="4" w:space="0"/>
              <w:left w:val="single" w:color="auto" w:sz="4" w:space="0"/>
            </w:tcBorders>
            <w:shd w:val="clear" w:color="auto" w:fill="FFFFFF"/>
          </w:tcPr>
          <w:p w14:paraId="227C3643">
            <w:pPr>
              <w:autoSpaceDE w:val="0"/>
              <w:autoSpaceDN w:val="0"/>
              <w:adjustRightInd w:val="0"/>
              <w:spacing w:line="360" w:lineRule="auto"/>
              <w:jc w:val="center"/>
              <w:rPr>
                <w:rFonts w:cs="宋体" w:asciiTheme="minorEastAsia" w:hAnsiTheme="minorEastAsia" w:eastAsiaTheme="minorEastAsia"/>
                <w:lang w:val="en-US" w:eastAsia="zh-TW"/>
              </w:rPr>
            </w:pPr>
            <w:r>
              <w:rPr>
                <w:rFonts w:cs="宋体" w:asciiTheme="minorEastAsia" w:hAnsiTheme="minorEastAsia" w:eastAsiaTheme="minorEastAsia"/>
                <w:lang w:val="en-US" w:eastAsia="zh-TW"/>
              </w:rPr>
              <w:t>5</w:t>
            </w:r>
          </w:p>
        </w:tc>
        <w:tc>
          <w:tcPr>
            <w:tcW w:w="2414" w:type="dxa"/>
            <w:tcBorders>
              <w:top w:val="single" w:color="auto" w:sz="4" w:space="0"/>
              <w:left w:val="single" w:color="auto" w:sz="4" w:space="0"/>
            </w:tcBorders>
            <w:shd w:val="clear" w:color="auto" w:fill="FFFFFF"/>
          </w:tcPr>
          <w:p w14:paraId="123A7944">
            <w:pPr>
              <w:autoSpaceDE w:val="0"/>
              <w:autoSpaceDN w:val="0"/>
              <w:adjustRightInd w:val="0"/>
              <w:spacing w:line="360" w:lineRule="auto"/>
              <w:jc w:val="center"/>
              <w:rPr>
                <w:rFonts w:cs="宋体" w:asciiTheme="minorEastAsia" w:hAnsiTheme="minorEastAsia" w:eastAsiaTheme="minorEastAsia"/>
                <w:lang w:val="en-US" w:eastAsia="zh-TW"/>
              </w:rPr>
            </w:pPr>
          </w:p>
        </w:tc>
        <w:tc>
          <w:tcPr>
            <w:tcW w:w="3002" w:type="dxa"/>
            <w:tcBorders>
              <w:top w:val="single" w:color="auto" w:sz="4" w:space="0"/>
              <w:left w:val="single" w:color="auto" w:sz="4" w:space="0"/>
            </w:tcBorders>
            <w:shd w:val="clear" w:color="auto" w:fill="FFFFFF"/>
          </w:tcPr>
          <w:p w14:paraId="684ADFC5">
            <w:pPr>
              <w:autoSpaceDE w:val="0"/>
              <w:autoSpaceDN w:val="0"/>
              <w:adjustRightInd w:val="0"/>
              <w:spacing w:line="360" w:lineRule="auto"/>
              <w:jc w:val="center"/>
              <w:rPr>
                <w:rFonts w:cs="宋体" w:asciiTheme="minorEastAsia" w:hAnsiTheme="minorEastAsia" w:eastAsiaTheme="minorEastAsia"/>
                <w:lang w:val="en-US" w:eastAsia="zh-TW"/>
              </w:rPr>
            </w:pPr>
          </w:p>
        </w:tc>
        <w:tc>
          <w:tcPr>
            <w:tcW w:w="1276" w:type="dxa"/>
            <w:tcBorders>
              <w:top w:val="single" w:color="auto" w:sz="4" w:space="0"/>
              <w:left w:val="single" w:color="auto" w:sz="4" w:space="0"/>
            </w:tcBorders>
            <w:shd w:val="clear" w:color="auto" w:fill="FFFFFF"/>
          </w:tcPr>
          <w:p w14:paraId="1B778001">
            <w:pPr>
              <w:autoSpaceDE w:val="0"/>
              <w:autoSpaceDN w:val="0"/>
              <w:adjustRightInd w:val="0"/>
              <w:spacing w:line="360" w:lineRule="auto"/>
              <w:jc w:val="center"/>
              <w:rPr>
                <w:rFonts w:cs="宋体" w:asciiTheme="minorEastAsia" w:hAnsiTheme="minorEastAsia" w:eastAsiaTheme="minorEastAsia"/>
                <w:lang w:val="en-US" w:eastAsia="zh-TW"/>
              </w:rPr>
            </w:pPr>
          </w:p>
        </w:tc>
        <w:tc>
          <w:tcPr>
            <w:tcW w:w="1257" w:type="dxa"/>
            <w:tcBorders>
              <w:top w:val="single" w:color="auto" w:sz="4" w:space="0"/>
              <w:left w:val="single" w:color="auto" w:sz="4" w:space="0"/>
              <w:right w:val="single" w:color="auto" w:sz="4" w:space="0"/>
            </w:tcBorders>
            <w:shd w:val="clear" w:color="auto" w:fill="FFFFFF"/>
          </w:tcPr>
          <w:p w14:paraId="52766E5E">
            <w:pPr>
              <w:autoSpaceDE w:val="0"/>
              <w:autoSpaceDN w:val="0"/>
              <w:adjustRightInd w:val="0"/>
              <w:spacing w:line="360" w:lineRule="auto"/>
              <w:jc w:val="center"/>
              <w:rPr>
                <w:rFonts w:cs="宋体" w:asciiTheme="minorEastAsia" w:hAnsiTheme="minorEastAsia" w:eastAsiaTheme="minorEastAsia"/>
                <w:lang w:val="en-US" w:eastAsia="zh-TW"/>
              </w:rPr>
            </w:pPr>
          </w:p>
        </w:tc>
      </w:tr>
      <w:tr w14:paraId="54A5F9F9">
        <w:tblPrEx>
          <w:tblCellMar>
            <w:top w:w="0" w:type="dxa"/>
            <w:left w:w="10" w:type="dxa"/>
            <w:bottom w:w="0" w:type="dxa"/>
            <w:right w:w="10" w:type="dxa"/>
          </w:tblCellMar>
        </w:tblPrEx>
        <w:trPr>
          <w:trHeight w:val="567" w:hRule="exact"/>
        </w:trPr>
        <w:tc>
          <w:tcPr>
            <w:tcW w:w="821" w:type="dxa"/>
            <w:tcBorders>
              <w:top w:val="single" w:color="auto" w:sz="4" w:space="0"/>
              <w:left w:val="single" w:color="auto" w:sz="4" w:space="0"/>
            </w:tcBorders>
            <w:shd w:val="clear" w:color="auto" w:fill="FFFFFF"/>
          </w:tcPr>
          <w:p w14:paraId="36DB27BA">
            <w:pPr>
              <w:autoSpaceDE w:val="0"/>
              <w:autoSpaceDN w:val="0"/>
              <w:adjustRightInd w:val="0"/>
              <w:spacing w:line="360" w:lineRule="auto"/>
              <w:jc w:val="center"/>
              <w:rPr>
                <w:rFonts w:cs="宋体" w:asciiTheme="minorEastAsia" w:hAnsiTheme="minorEastAsia" w:eastAsiaTheme="minorEastAsia"/>
                <w:lang w:val="en-US" w:eastAsia="zh-TW"/>
              </w:rPr>
            </w:pPr>
            <w:r>
              <w:rPr>
                <w:rFonts w:hint="eastAsia" w:cs="宋体" w:asciiTheme="minorEastAsia" w:hAnsiTheme="minorEastAsia" w:eastAsiaTheme="minorEastAsia"/>
                <w:lang w:val="en-US"/>
              </w:rPr>
              <w:t>……</w:t>
            </w:r>
          </w:p>
        </w:tc>
        <w:tc>
          <w:tcPr>
            <w:tcW w:w="2414" w:type="dxa"/>
            <w:tcBorders>
              <w:top w:val="single" w:color="auto" w:sz="4" w:space="0"/>
              <w:left w:val="single" w:color="auto" w:sz="4" w:space="0"/>
            </w:tcBorders>
            <w:shd w:val="clear" w:color="auto" w:fill="FFFFFF"/>
          </w:tcPr>
          <w:p w14:paraId="108FCC5C">
            <w:pPr>
              <w:autoSpaceDE w:val="0"/>
              <w:autoSpaceDN w:val="0"/>
              <w:adjustRightInd w:val="0"/>
              <w:spacing w:line="360" w:lineRule="auto"/>
              <w:jc w:val="center"/>
              <w:rPr>
                <w:rFonts w:cs="宋体" w:asciiTheme="minorEastAsia" w:hAnsiTheme="minorEastAsia" w:eastAsiaTheme="minorEastAsia"/>
                <w:lang w:val="en-US" w:eastAsia="zh-TW"/>
              </w:rPr>
            </w:pPr>
          </w:p>
        </w:tc>
        <w:tc>
          <w:tcPr>
            <w:tcW w:w="3002" w:type="dxa"/>
            <w:tcBorders>
              <w:top w:val="single" w:color="auto" w:sz="4" w:space="0"/>
              <w:left w:val="single" w:color="auto" w:sz="4" w:space="0"/>
            </w:tcBorders>
            <w:shd w:val="clear" w:color="auto" w:fill="FFFFFF"/>
          </w:tcPr>
          <w:p w14:paraId="779FAB54">
            <w:pPr>
              <w:autoSpaceDE w:val="0"/>
              <w:autoSpaceDN w:val="0"/>
              <w:adjustRightInd w:val="0"/>
              <w:spacing w:line="360" w:lineRule="auto"/>
              <w:jc w:val="center"/>
              <w:rPr>
                <w:rFonts w:cs="宋体" w:asciiTheme="minorEastAsia" w:hAnsiTheme="minorEastAsia" w:eastAsiaTheme="minorEastAsia"/>
                <w:lang w:val="en-US" w:eastAsia="zh-TW"/>
              </w:rPr>
            </w:pPr>
          </w:p>
        </w:tc>
        <w:tc>
          <w:tcPr>
            <w:tcW w:w="1276" w:type="dxa"/>
            <w:tcBorders>
              <w:top w:val="single" w:color="auto" w:sz="4" w:space="0"/>
              <w:left w:val="single" w:color="auto" w:sz="4" w:space="0"/>
            </w:tcBorders>
            <w:shd w:val="clear" w:color="auto" w:fill="FFFFFF"/>
          </w:tcPr>
          <w:p w14:paraId="437CA16A">
            <w:pPr>
              <w:autoSpaceDE w:val="0"/>
              <w:autoSpaceDN w:val="0"/>
              <w:adjustRightInd w:val="0"/>
              <w:spacing w:line="360" w:lineRule="auto"/>
              <w:jc w:val="center"/>
              <w:rPr>
                <w:rFonts w:cs="宋体" w:asciiTheme="minorEastAsia" w:hAnsiTheme="minorEastAsia" w:eastAsiaTheme="minorEastAsia"/>
                <w:lang w:val="en-US" w:eastAsia="zh-TW"/>
              </w:rPr>
            </w:pPr>
          </w:p>
        </w:tc>
        <w:tc>
          <w:tcPr>
            <w:tcW w:w="1257" w:type="dxa"/>
            <w:tcBorders>
              <w:top w:val="single" w:color="auto" w:sz="4" w:space="0"/>
              <w:left w:val="single" w:color="auto" w:sz="4" w:space="0"/>
              <w:right w:val="single" w:color="auto" w:sz="4" w:space="0"/>
            </w:tcBorders>
            <w:shd w:val="clear" w:color="auto" w:fill="FFFFFF"/>
          </w:tcPr>
          <w:p w14:paraId="1F492891">
            <w:pPr>
              <w:autoSpaceDE w:val="0"/>
              <w:autoSpaceDN w:val="0"/>
              <w:adjustRightInd w:val="0"/>
              <w:spacing w:line="360" w:lineRule="auto"/>
              <w:jc w:val="center"/>
              <w:rPr>
                <w:rFonts w:cs="宋体" w:asciiTheme="minorEastAsia" w:hAnsiTheme="minorEastAsia" w:eastAsiaTheme="minorEastAsia"/>
                <w:lang w:val="en-US" w:eastAsia="zh-TW"/>
              </w:rPr>
            </w:pPr>
          </w:p>
        </w:tc>
      </w:tr>
      <w:tr w14:paraId="5446DD5B">
        <w:tblPrEx>
          <w:tblCellMar>
            <w:top w:w="0" w:type="dxa"/>
            <w:left w:w="10" w:type="dxa"/>
            <w:bottom w:w="0" w:type="dxa"/>
            <w:right w:w="10" w:type="dxa"/>
          </w:tblCellMar>
        </w:tblPrEx>
        <w:trPr>
          <w:trHeight w:val="567" w:hRule="exact"/>
        </w:trPr>
        <w:tc>
          <w:tcPr>
            <w:tcW w:w="6237" w:type="dxa"/>
            <w:gridSpan w:val="3"/>
            <w:tcBorders>
              <w:top w:val="single" w:color="auto" w:sz="4" w:space="0"/>
              <w:left w:val="single" w:color="auto" w:sz="4" w:space="0"/>
              <w:bottom w:val="single" w:color="auto" w:sz="4" w:space="0"/>
            </w:tcBorders>
            <w:shd w:val="clear" w:color="auto" w:fill="FFFFFF"/>
            <w:vAlign w:val="center"/>
          </w:tcPr>
          <w:p w14:paraId="7E73A13E">
            <w:pPr>
              <w:autoSpaceDE w:val="0"/>
              <w:autoSpaceDN w:val="0"/>
              <w:adjustRightInd w:val="0"/>
              <w:spacing w:line="360" w:lineRule="auto"/>
              <w:jc w:val="center"/>
              <w:rPr>
                <w:rFonts w:cs="宋体" w:asciiTheme="minorEastAsia" w:hAnsiTheme="minorEastAsia" w:eastAsiaTheme="minorEastAsia"/>
                <w:lang w:val="en-US" w:eastAsia="zh-TW"/>
              </w:rPr>
            </w:pPr>
            <w:r>
              <w:rPr>
                <w:rFonts w:hint="eastAsia" w:cs="宋体" w:asciiTheme="minorEastAsia" w:hAnsiTheme="minorEastAsia" w:eastAsiaTheme="minorEastAsia"/>
                <w:lang w:val="en-US" w:eastAsia="zh-TW"/>
              </w:rPr>
              <w:t>合计报价</w:t>
            </w:r>
          </w:p>
        </w:tc>
        <w:tc>
          <w:tcPr>
            <w:tcW w:w="1276" w:type="dxa"/>
            <w:tcBorders>
              <w:top w:val="single" w:color="auto" w:sz="4" w:space="0"/>
              <w:left w:val="single" w:color="auto" w:sz="4" w:space="0"/>
              <w:bottom w:val="single" w:color="auto" w:sz="4" w:space="0"/>
            </w:tcBorders>
            <w:shd w:val="clear" w:color="auto" w:fill="FFFFFF"/>
          </w:tcPr>
          <w:p w14:paraId="34FDB4EB">
            <w:pPr>
              <w:autoSpaceDE w:val="0"/>
              <w:autoSpaceDN w:val="0"/>
              <w:adjustRightInd w:val="0"/>
              <w:spacing w:line="360" w:lineRule="auto"/>
              <w:jc w:val="center"/>
              <w:rPr>
                <w:rFonts w:cs="宋体" w:asciiTheme="minorEastAsia" w:hAnsiTheme="minorEastAsia" w:eastAsiaTheme="minorEastAsia"/>
                <w:lang w:val="en-US" w:eastAsia="zh-TW"/>
              </w:rPr>
            </w:pPr>
          </w:p>
        </w:tc>
        <w:tc>
          <w:tcPr>
            <w:tcW w:w="1257" w:type="dxa"/>
            <w:tcBorders>
              <w:top w:val="single" w:color="auto" w:sz="4" w:space="0"/>
              <w:left w:val="single" w:color="auto" w:sz="4" w:space="0"/>
              <w:bottom w:val="single" w:color="auto" w:sz="4" w:space="0"/>
              <w:right w:val="single" w:color="auto" w:sz="4" w:space="0"/>
            </w:tcBorders>
            <w:shd w:val="clear" w:color="auto" w:fill="FFFFFF"/>
          </w:tcPr>
          <w:p w14:paraId="04127CB5">
            <w:pPr>
              <w:autoSpaceDE w:val="0"/>
              <w:autoSpaceDN w:val="0"/>
              <w:adjustRightInd w:val="0"/>
              <w:spacing w:line="360" w:lineRule="auto"/>
              <w:jc w:val="center"/>
              <w:rPr>
                <w:rFonts w:cs="宋体" w:asciiTheme="minorEastAsia" w:hAnsiTheme="minorEastAsia" w:eastAsiaTheme="minorEastAsia"/>
                <w:lang w:val="en-US" w:eastAsia="zh-TW"/>
              </w:rPr>
            </w:pPr>
          </w:p>
        </w:tc>
      </w:tr>
    </w:tbl>
    <w:p w14:paraId="3DA6CF57">
      <w:pPr>
        <w:pStyle w:val="46"/>
        <w:shd w:val="clear" w:color="auto" w:fill="auto"/>
        <w:spacing w:before="0" w:after="240" w:line="360" w:lineRule="auto"/>
        <w:ind w:left="284" w:right="-6"/>
        <w:jc w:val="left"/>
        <w:rPr>
          <w:rFonts w:asciiTheme="minorEastAsia" w:hAnsiTheme="minorEastAsia" w:eastAsiaTheme="minorEastAsia"/>
          <w:sz w:val="24"/>
          <w:szCs w:val="24"/>
          <w:lang w:val="zh-TW"/>
        </w:rPr>
      </w:pPr>
    </w:p>
    <w:p w14:paraId="436D09EE">
      <w:pPr>
        <w:spacing w:line="300" w:lineRule="auto"/>
        <w:jc w:val="center"/>
        <w:outlineLvl w:val="1"/>
        <w:rPr>
          <w:rFonts w:asciiTheme="minorEastAsia" w:hAnsiTheme="minorEastAsia" w:eastAsiaTheme="minorEastAsia"/>
          <w:b/>
          <w:bCs/>
          <w:sz w:val="32"/>
          <w:szCs w:val="32"/>
        </w:rPr>
      </w:pPr>
      <w:r>
        <w:rPr>
          <w:rFonts w:asciiTheme="minorEastAsia" w:hAnsiTheme="minorEastAsia" w:eastAsiaTheme="minorEastAsia"/>
        </w:rPr>
        <w:br w:type="page"/>
      </w:r>
      <w:r>
        <w:rPr>
          <w:rFonts w:hint="eastAsia" w:asciiTheme="minorEastAsia" w:hAnsiTheme="minorEastAsia" w:eastAsiaTheme="minorEastAsia"/>
          <w:b/>
          <w:bCs/>
          <w:sz w:val="32"/>
          <w:szCs w:val="32"/>
        </w:rPr>
        <w:t>二、</w:t>
      </w:r>
      <w:r>
        <w:rPr>
          <w:rFonts w:asciiTheme="minorEastAsia" w:hAnsiTheme="minorEastAsia" w:eastAsiaTheme="minorEastAsia"/>
          <w:b/>
          <w:bCs/>
          <w:sz w:val="32"/>
          <w:szCs w:val="32"/>
        </w:rPr>
        <w:t>法定代表人身份证明</w:t>
      </w:r>
    </w:p>
    <w:p w14:paraId="4922DAAF">
      <w:pPr>
        <w:jc w:val="center"/>
        <w:rPr>
          <w:rFonts w:ascii="Times New Roman" w:hAnsi="Times New Roman"/>
          <w:b/>
          <w:bCs/>
          <w:sz w:val="28"/>
          <w:szCs w:val="28"/>
          <w:lang w:val="zh-TW"/>
        </w:rPr>
      </w:pPr>
      <w:r>
        <w:rPr>
          <w:rFonts w:ascii="Times New Roman" w:hAnsi="Times New Roman"/>
          <w:b/>
          <w:bCs/>
          <w:sz w:val="28"/>
          <w:szCs w:val="28"/>
          <w:lang w:val="zh-TW"/>
        </w:rPr>
        <w:t>法定代表人身份证明(适用于法定代表人</w:t>
      </w:r>
      <w:r>
        <w:rPr>
          <w:rFonts w:hint="eastAsia" w:ascii="Times New Roman" w:hAnsi="Times New Roman"/>
          <w:b/>
          <w:bCs/>
          <w:sz w:val="28"/>
          <w:szCs w:val="28"/>
          <w:lang w:val="zh-TW"/>
        </w:rPr>
        <w:t>谈判</w:t>
      </w:r>
      <w:r>
        <w:rPr>
          <w:rFonts w:ascii="Times New Roman" w:hAnsi="Times New Roman"/>
          <w:b/>
          <w:bCs/>
          <w:sz w:val="28"/>
          <w:szCs w:val="28"/>
          <w:lang w:val="zh-TW"/>
        </w:rPr>
        <w:t>时)</w:t>
      </w:r>
    </w:p>
    <w:p w14:paraId="592C42A4">
      <w:pPr>
        <w:tabs>
          <w:tab w:val="left" w:leader="underscore" w:pos="3773"/>
        </w:tabs>
        <w:spacing w:before="240" w:beforeLines="100" w:line="520" w:lineRule="exact"/>
        <w:rPr>
          <w:rFonts w:ascii="Times New Roman" w:hAnsi="Times New Roman" w:eastAsia="仿宋" w:cs="Times New Roman"/>
        </w:rPr>
      </w:pPr>
      <w:r>
        <w:rPr>
          <w:rFonts w:ascii="Times New Roman" w:hAnsi="Times New Roman" w:cs="Times New Roman"/>
        </w:rPr>
        <w:t>投标人名称：</w:t>
      </w:r>
      <w:r>
        <w:rPr>
          <w:rFonts w:ascii="Times New Roman" w:hAnsi="Times New Roman" w:eastAsia="仿宋" w:cs="Times New Roman"/>
        </w:rPr>
        <w:tab/>
      </w:r>
    </w:p>
    <w:p w14:paraId="120569F8">
      <w:pPr>
        <w:tabs>
          <w:tab w:val="left" w:leader="underscore" w:pos="2304"/>
          <w:tab w:val="left" w:leader="underscore" w:pos="3773"/>
          <w:tab w:val="left" w:leader="underscore" w:pos="5262"/>
          <w:tab w:val="left" w:leader="underscore" w:pos="6715"/>
        </w:tabs>
        <w:spacing w:line="520" w:lineRule="exact"/>
        <w:rPr>
          <w:rFonts w:ascii="Times New Roman" w:hAnsi="Times New Roman" w:eastAsia="仿宋" w:cs="Times New Roman"/>
        </w:rPr>
      </w:pPr>
      <w:r>
        <w:rPr>
          <w:rFonts w:ascii="Times New Roman" w:hAnsi="Times New Roman" w:cs="Times New Roman"/>
        </w:rPr>
        <w:t>姓名</w:t>
      </w:r>
      <w:r>
        <w:rPr>
          <w:rFonts w:ascii="Times New Roman" w:hAnsi="Times New Roman" w:eastAsia="仿宋" w:cs="Times New Roman"/>
        </w:rPr>
        <w:t>：</w:t>
      </w:r>
      <w:r>
        <w:rPr>
          <w:rFonts w:ascii="Times New Roman" w:hAnsi="Times New Roman" w:eastAsia="仿宋" w:cs="Times New Roman"/>
        </w:rPr>
        <w:tab/>
      </w:r>
      <w:r>
        <w:rPr>
          <w:rFonts w:ascii="Times New Roman" w:hAnsi="Times New Roman" w:cs="Times New Roman"/>
        </w:rPr>
        <w:t>性别：</w:t>
      </w:r>
      <w:r>
        <w:rPr>
          <w:rFonts w:ascii="Times New Roman" w:hAnsi="Times New Roman" w:eastAsia="仿宋" w:cs="Times New Roman"/>
        </w:rPr>
        <w:tab/>
      </w:r>
      <w:r>
        <w:rPr>
          <w:rFonts w:ascii="Times New Roman" w:hAnsi="Times New Roman" w:cs="Times New Roman"/>
        </w:rPr>
        <w:t>年龄</w:t>
      </w:r>
      <w:r>
        <w:rPr>
          <w:rFonts w:ascii="Times New Roman" w:hAnsi="Times New Roman" w:eastAsia="仿宋" w:cs="Times New Roman"/>
        </w:rPr>
        <w:t>：</w:t>
      </w:r>
      <w:r>
        <w:rPr>
          <w:rFonts w:ascii="Times New Roman" w:hAnsi="Times New Roman" w:eastAsia="仿宋" w:cs="Times New Roman"/>
        </w:rPr>
        <w:tab/>
      </w:r>
      <w:r>
        <w:rPr>
          <w:rFonts w:ascii="Times New Roman" w:hAnsi="Times New Roman" w:cs="Times New Roman"/>
        </w:rPr>
        <w:t>职务：</w:t>
      </w:r>
      <w:r>
        <w:rPr>
          <w:rFonts w:ascii="Times New Roman" w:hAnsi="Times New Roman" w:eastAsia="仿宋" w:cs="Times New Roman"/>
        </w:rPr>
        <w:tab/>
      </w:r>
    </w:p>
    <w:p w14:paraId="74BF0125">
      <w:pPr>
        <w:tabs>
          <w:tab w:val="left" w:leader="underscore" w:pos="2731"/>
        </w:tabs>
        <w:spacing w:line="520" w:lineRule="exact"/>
        <w:rPr>
          <w:rFonts w:ascii="Times New Roman" w:hAnsi="Times New Roman" w:eastAsia="仿宋" w:cs="Times New Roman"/>
        </w:rPr>
      </w:pPr>
      <w:r>
        <w:rPr>
          <w:rFonts w:ascii="Times New Roman" w:hAnsi="Times New Roman" w:cs="Times New Roman"/>
        </w:rPr>
        <w:t>系</w:t>
      </w:r>
      <w:r>
        <w:rPr>
          <w:rFonts w:ascii="Times New Roman" w:hAnsi="Times New Roman" w:eastAsia="仿宋" w:cs="Times New Roman"/>
        </w:rPr>
        <w:tab/>
      </w:r>
      <w:r>
        <w:rPr>
          <w:rFonts w:ascii="Times New Roman" w:hAnsi="Times New Roman" w:eastAsia="仿宋" w:cs="Times New Roman"/>
        </w:rPr>
        <w:t>(</w:t>
      </w:r>
      <w:r>
        <w:rPr>
          <w:rFonts w:ascii="Times New Roman" w:hAnsi="Times New Roman" w:cs="Times New Roman"/>
        </w:rPr>
        <w:t>投标人名称）的法定代表人（单位负责人)</w:t>
      </w:r>
    </w:p>
    <w:p w14:paraId="5E9BCF2B">
      <w:pPr>
        <w:tabs>
          <w:tab w:val="left" w:leader="underscore" w:pos="2731"/>
        </w:tabs>
        <w:spacing w:line="520" w:lineRule="exact"/>
        <w:rPr>
          <w:rFonts w:ascii="Times New Roman" w:hAnsi="Times New Roman" w:cs="Times New Roman"/>
        </w:rPr>
      </w:pPr>
      <w:r>
        <w:rPr>
          <w:rFonts w:ascii="Times New Roman" w:hAnsi="Times New Roman" w:cs="Times New Roman"/>
        </w:rPr>
        <w:t>特此证明。</w:t>
      </w:r>
    </w:p>
    <w:p w14:paraId="1A677FA9">
      <w:pPr>
        <w:tabs>
          <w:tab w:val="left" w:leader="underscore" w:pos="2731"/>
        </w:tabs>
        <w:spacing w:line="520" w:lineRule="exact"/>
        <w:rPr>
          <w:rFonts w:ascii="Times New Roman" w:hAnsi="Times New Roman" w:cs="Times New Roman"/>
        </w:rPr>
      </w:pPr>
      <w:r>
        <w:rPr>
          <w:rFonts w:ascii="Times New Roman" w:hAnsi="Times New Roman" w:cs="Times New Roman"/>
        </w:rPr>
        <w:t>附：法定代表人（单位负责人）身份证复印件。</w:t>
      </w:r>
    </w:p>
    <w:p w14:paraId="0F994479">
      <w:pPr>
        <w:tabs>
          <w:tab w:val="left" w:leader="underscore" w:pos="2731"/>
        </w:tabs>
        <w:spacing w:line="520" w:lineRule="exact"/>
        <w:rPr>
          <w:rFonts w:ascii="Times New Roman" w:hAnsi="Times New Roman" w:cs="Times New Roman"/>
        </w:rPr>
      </w:pPr>
      <w:r>
        <w:rPr>
          <w:rFonts w:ascii="Times New Roman" w:hAnsi="Times New Roman" w:cs="Times New Roman"/>
        </w:rPr>
        <w:t>注：本身份证明需由投标人加盖单位公章。</w:t>
      </w:r>
    </w:p>
    <w:p w14:paraId="05E493C7">
      <w:pPr>
        <w:spacing w:after="1057" w:line="520" w:lineRule="exact"/>
        <w:rPr>
          <w:rFonts w:ascii="Times New Roman" w:hAnsi="Times New Roman" w:eastAsia="仿宋" w:cs="Times New Roman"/>
        </w:rPr>
      </w:pPr>
    </w:p>
    <w:p w14:paraId="2D05E727">
      <w:pPr>
        <w:tabs>
          <w:tab w:val="left" w:leader="underscore" w:pos="6434"/>
        </w:tabs>
        <w:spacing w:after="642" w:line="520" w:lineRule="exact"/>
        <w:ind w:left="4140"/>
        <w:rPr>
          <w:rFonts w:ascii="Times New Roman" w:hAnsi="Times New Roman" w:cs="Times New Roman"/>
        </w:rPr>
      </w:pPr>
      <w:r>
        <w:rPr>
          <w:rFonts w:ascii="Times New Roman" w:hAnsi="Times New Roman" w:cs="Times New Roman"/>
          <w:spacing w:val="-10"/>
          <w:lang w:val="zh-TW" w:bidi="zh-TW"/>
        </w:rPr>
        <w:t>投标人：</w:t>
      </w:r>
      <w:r>
        <w:rPr>
          <w:rFonts w:ascii="Times New Roman" w:hAnsi="Times New Roman" w:cs="Times New Roman"/>
        </w:rPr>
        <w:tab/>
      </w:r>
      <w:r>
        <w:rPr>
          <w:rFonts w:ascii="Times New Roman" w:hAnsi="Times New Roman" w:cs="Times New Roman"/>
        </w:rPr>
        <w:t>(单位公章)</w:t>
      </w:r>
    </w:p>
    <w:p w14:paraId="56817CF0">
      <w:pPr>
        <w:tabs>
          <w:tab w:val="left" w:leader="underscore" w:pos="5262"/>
          <w:tab w:val="left" w:leader="underscore" w:pos="5980"/>
          <w:tab w:val="left" w:leader="underscore" w:pos="6958"/>
        </w:tabs>
        <w:spacing w:line="520" w:lineRule="exact"/>
        <w:ind w:left="4640" w:firstLine="720" w:firstLineChars="300"/>
        <w:rPr>
          <w:rFonts w:ascii="Times New Roman" w:hAnsi="Times New Roman" w:cs="Times New Roman"/>
        </w:rPr>
      </w:pPr>
      <w:r>
        <w:rPr>
          <w:rFonts w:ascii="Times New Roman" w:hAnsi="Times New Roman" w:cs="Times New Roman"/>
        </w:rPr>
        <w:t>年</w:t>
      </w:r>
      <w:r>
        <w:rPr>
          <w:rFonts w:hint="eastAsia" w:ascii="Times New Roman" w:hAnsi="Times New Roman" w:cs="Times New Roman"/>
        </w:rPr>
        <w:t xml:space="preserve">   </w:t>
      </w:r>
      <w:r>
        <w:rPr>
          <w:rFonts w:ascii="Times New Roman" w:hAnsi="Times New Roman" w:cs="Times New Roman"/>
        </w:rPr>
        <w:t>月</w:t>
      </w:r>
      <w:r>
        <w:rPr>
          <w:rFonts w:hint="eastAsia" w:ascii="Times New Roman" w:hAnsi="Times New Roman" w:cs="Times New Roman"/>
        </w:rPr>
        <w:t xml:space="preserve">    </w:t>
      </w:r>
      <w:r>
        <w:rPr>
          <w:rFonts w:ascii="Times New Roman" w:hAnsi="Times New Roman" w:cs="Times New Roman"/>
        </w:rPr>
        <w:t>日</w:t>
      </w:r>
    </w:p>
    <w:p w14:paraId="40A2DEC0">
      <w:pPr>
        <w:widowControl/>
        <w:rPr>
          <w:rFonts w:ascii="Times New Roman" w:hAnsi="Times New Roman" w:cs="Times New Roman"/>
        </w:rPr>
      </w:pPr>
      <w:r>
        <w:rPr>
          <w:rFonts w:ascii="Times New Roman" w:hAnsi="Times New Roman" w:cs="Times New Roman"/>
        </w:rPr>
        <w:br w:type="page"/>
      </w:r>
    </w:p>
    <w:p w14:paraId="4348443E">
      <w:pPr>
        <w:spacing w:line="300" w:lineRule="auto"/>
        <w:jc w:val="center"/>
        <w:outlineLvl w:val="1"/>
        <w:rPr>
          <w:rFonts w:asciiTheme="minorEastAsia" w:hAnsiTheme="minorEastAsia" w:eastAsiaTheme="minorEastAsia"/>
          <w:b/>
          <w:bCs/>
          <w:sz w:val="32"/>
          <w:szCs w:val="32"/>
        </w:rPr>
      </w:pPr>
      <w:r>
        <w:rPr>
          <w:rFonts w:hint="eastAsia" w:asciiTheme="minorEastAsia" w:hAnsiTheme="minorEastAsia" w:eastAsiaTheme="minorEastAsia"/>
          <w:b/>
          <w:bCs/>
          <w:sz w:val="32"/>
          <w:szCs w:val="32"/>
        </w:rPr>
        <w:t>三、授权委托书</w:t>
      </w:r>
    </w:p>
    <w:bookmarkEnd w:id="285"/>
    <w:p w14:paraId="466EC5DB">
      <w:pPr>
        <w:autoSpaceDE w:val="0"/>
        <w:autoSpaceDN w:val="0"/>
        <w:adjustRightInd w:val="0"/>
        <w:spacing w:line="360" w:lineRule="auto"/>
        <w:ind w:firstLine="425"/>
        <w:jc w:val="center"/>
        <w:rPr>
          <w:rFonts w:ascii="Times New Roman" w:hAnsi="Times New Roman" w:eastAsia="黑体" w:cs="Times New Roman"/>
          <w:b/>
          <w:sz w:val="30"/>
          <w:szCs w:val="30"/>
        </w:rPr>
      </w:pPr>
      <w:r>
        <w:rPr>
          <w:rFonts w:ascii="Times New Roman" w:hAnsi="Times New Roman" w:eastAsia="黑体" w:cs="Times New Roman"/>
          <w:sz w:val="32"/>
          <w:szCs w:val="32"/>
        </w:rPr>
        <w:t>授权委托书</w:t>
      </w:r>
      <w:r>
        <w:rPr>
          <w:rFonts w:ascii="Times New Roman" w:hAnsi="Times New Roman" w:eastAsia="黑体" w:cs="Times New Roman"/>
          <w:b/>
          <w:bCs/>
          <w:sz w:val="30"/>
          <w:szCs w:val="30"/>
          <w:shd w:val="clear" w:color="auto" w:fill="FFFFFF"/>
          <w:lang w:val="zh-TW" w:bidi="zh-TW"/>
        </w:rPr>
        <w:t>(</w:t>
      </w:r>
      <w:r>
        <w:rPr>
          <w:rFonts w:ascii="Times New Roman" w:hAnsi="Times New Roman" w:eastAsia="仿宋" w:cs="Times New Roman"/>
          <w:b/>
          <w:bCs/>
          <w:sz w:val="30"/>
          <w:szCs w:val="30"/>
          <w:shd w:val="clear" w:color="auto" w:fill="FFFFFF"/>
          <w:lang w:val="zh-TW" w:bidi="zh-TW"/>
        </w:rPr>
        <w:t>适用于委托代理人</w:t>
      </w:r>
      <w:r>
        <w:rPr>
          <w:rFonts w:hint="eastAsia" w:ascii="Times New Roman" w:hAnsi="Times New Roman" w:eastAsia="仿宋" w:cs="Times New Roman"/>
          <w:b/>
          <w:bCs/>
          <w:sz w:val="30"/>
          <w:szCs w:val="30"/>
          <w:shd w:val="clear" w:color="auto" w:fill="FFFFFF"/>
          <w:lang w:val="zh-TW" w:bidi="zh-TW"/>
        </w:rPr>
        <w:t>谈判</w:t>
      </w:r>
      <w:r>
        <w:rPr>
          <w:rFonts w:ascii="Times New Roman" w:hAnsi="Times New Roman" w:eastAsia="仿宋" w:cs="Times New Roman"/>
          <w:b/>
          <w:bCs/>
          <w:sz w:val="30"/>
          <w:szCs w:val="30"/>
          <w:shd w:val="clear" w:color="auto" w:fill="FFFFFF"/>
          <w:lang w:val="zh-TW" w:bidi="zh-TW"/>
        </w:rPr>
        <w:t>时</w:t>
      </w:r>
      <w:r>
        <w:rPr>
          <w:rFonts w:ascii="Times New Roman" w:hAnsi="Times New Roman" w:eastAsia="黑体" w:cs="Times New Roman"/>
          <w:b/>
          <w:bCs/>
          <w:sz w:val="30"/>
          <w:szCs w:val="30"/>
          <w:shd w:val="clear" w:color="auto" w:fill="FFFFFF"/>
          <w:lang w:val="zh-TW" w:bidi="zh-TW"/>
        </w:rPr>
        <w:t>)</w:t>
      </w:r>
    </w:p>
    <w:p w14:paraId="22A93967">
      <w:pPr>
        <w:topLinePunct/>
        <w:spacing w:line="300" w:lineRule="auto"/>
        <w:ind w:firstLine="480" w:firstLineChars="200"/>
        <w:rPr>
          <w:rFonts w:ascii="Times New Roman" w:hAnsi="Times New Roman" w:cs="Times New Roman"/>
        </w:rPr>
      </w:pPr>
      <w:r>
        <w:rPr>
          <w:rFonts w:ascii="Times New Roman" w:hAnsi="Times New Roman" w:cs="Times New Roman"/>
        </w:rPr>
        <w:t>本人</w:t>
      </w:r>
      <w:r>
        <w:rPr>
          <w:rFonts w:ascii="Times New Roman" w:hAnsi="Times New Roman" w:cs="Times New Roman"/>
          <w:u w:val="single"/>
        </w:rPr>
        <w:t xml:space="preserve">       </w:t>
      </w:r>
      <w:r>
        <w:rPr>
          <w:rFonts w:ascii="Times New Roman" w:hAnsi="Times New Roman" w:cs="Times New Roman"/>
        </w:rPr>
        <w:t>（姓名）系</w:t>
      </w:r>
      <w:r>
        <w:rPr>
          <w:rFonts w:ascii="Times New Roman" w:hAnsi="Times New Roman" w:cs="Times New Roman"/>
          <w:u w:val="single"/>
        </w:rPr>
        <w:t xml:space="preserve">        </w:t>
      </w:r>
      <w:r>
        <w:rPr>
          <w:rFonts w:ascii="Times New Roman" w:hAnsi="Times New Roman" w:cs="Times New Roman"/>
        </w:rPr>
        <w:t>（名称）的法定代表人，现委托</w:t>
      </w:r>
      <w:r>
        <w:rPr>
          <w:rFonts w:ascii="Times New Roman" w:hAnsi="Times New Roman" w:cs="Times New Roman"/>
          <w:u w:val="single"/>
        </w:rPr>
        <w:t xml:space="preserve">        </w:t>
      </w:r>
      <w:r>
        <w:rPr>
          <w:rFonts w:ascii="Times New Roman" w:hAnsi="Times New Roman" w:cs="Times New Roman"/>
        </w:rPr>
        <w:t>（姓名）为我方代理人。代理人根据授权，以我方名义签署、澄清、说明、补正、递交、撤回、修改</w:t>
      </w:r>
      <w:r>
        <w:rPr>
          <w:rFonts w:ascii="Times New Roman" w:hAnsi="Times New Roman" w:cs="Times New Roman"/>
          <w:u w:val="single"/>
        </w:rPr>
        <w:t xml:space="preserve">           </w:t>
      </w:r>
      <w:r>
        <w:rPr>
          <w:rFonts w:ascii="Times New Roman" w:hAnsi="Times New Roman" w:cs="Times New Roman"/>
        </w:rPr>
        <w:t>（项目名称）</w:t>
      </w:r>
      <w:r>
        <w:rPr>
          <w:rFonts w:hint="eastAsia" w:ascii="Times New Roman" w:hAnsi="Times New Roman" w:cs="Times New Roman"/>
        </w:rPr>
        <w:t>谈判</w:t>
      </w:r>
      <w:r>
        <w:rPr>
          <w:rFonts w:ascii="Times New Roman" w:hAnsi="Times New Roman" w:cs="Times New Roman"/>
        </w:rPr>
        <w:t>文件、签订合同和处理有关事宜，其法律后果由我方承担。</w:t>
      </w:r>
    </w:p>
    <w:p w14:paraId="510BEBE6">
      <w:pPr>
        <w:spacing w:line="300" w:lineRule="auto"/>
        <w:rPr>
          <w:rFonts w:ascii="Times New Roman" w:hAnsi="Times New Roman" w:cs="Times New Roman"/>
        </w:rPr>
      </w:pPr>
      <w:r>
        <w:rPr>
          <w:rFonts w:ascii="Times New Roman" w:hAnsi="Times New Roman" w:cs="Times New Roman"/>
        </w:rPr>
        <w:t xml:space="preserve">    委托期限：</w:t>
      </w:r>
      <w:r>
        <w:rPr>
          <w:rFonts w:ascii="Times New Roman" w:hAnsi="Times New Roman" w:cs="Times New Roman"/>
          <w:u w:val="single"/>
        </w:rPr>
        <w:t xml:space="preserve">             </w:t>
      </w:r>
      <w:r>
        <w:rPr>
          <w:rFonts w:ascii="Times New Roman" w:hAnsi="Times New Roman" w:cs="Times New Roman"/>
        </w:rPr>
        <w:t>。</w:t>
      </w:r>
    </w:p>
    <w:p w14:paraId="5165BB55">
      <w:pPr>
        <w:spacing w:line="300" w:lineRule="auto"/>
        <w:ind w:firstLine="480" w:firstLineChars="200"/>
        <w:rPr>
          <w:rFonts w:ascii="Times New Roman" w:hAnsi="Times New Roman" w:cs="Times New Roman"/>
        </w:rPr>
      </w:pPr>
      <w:r>
        <w:rPr>
          <w:rFonts w:ascii="Times New Roman" w:hAnsi="Times New Roman" w:cs="Times New Roman"/>
        </w:rPr>
        <w:t>代理人无转委托权。</w:t>
      </w:r>
    </w:p>
    <w:p w14:paraId="46D0917B">
      <w:pPr>
        <w:topLinePunct/>
        <w:spacing w:line="360" w:lineRule="auto"/>
        <w:ind w:firstLine="480" w:firstLineChars="200"/>
        <w:rPr>
          <w:rFonts w:ascii="Times New Roman" w:hAnsi="Times New Roman" w:cs="Times New Roman"/>
        </w:rPr>
      </w:pPr>
      <w:r>
        <w:rPr>
          <w:rFonts w:ascii="Times New Roman" w:hAnsi="Times New Roman" w:cs="Times New Roman"/>
        </w:rPr>
        <w:t>附：（1）法定代表人身份证复印件。</w:t>
      </w:r>
    </w:p>
    <w:p w14:paraId="4A6A0136">
      <w:pPr>
        <w:topLinePunct/>
        <w:spacing w:line="360" w:lineRule="auto"/>
        <w:ind w:firstLine="960" w:firstLineChars="400"/>
        <w:rPr>
          <w:rFonts w:ascii="Times New Roman" w:hAnsi="Times New Roman" w:cs="Times New Roman"/>
        </w:rPr>
      </w:pPr>
      <w:r>
        <w:rPr>
          <w:rFonts w:ascii="Times New Roman" w:hAnsi="Times New Roman" w:cs="Times New Roman"/>
        </w:rPr>
        <w:t>（2）委托代理人身份证复印件。</w:t>
      </w:r>
    </w:p>
    <w:p w14:paraId="5FBD532D">
      <w:pPr>
        <w:topLinePunct/>
        <w:spacing w:line="360" w:lineRule="auto"/>
        <w:ind w:firstLine="960" w:firstLineChars="400"/>
        <w:rPr>
          <w:rFonts w:ascii="Times New Roman" w:hAnsi="Times New Roman" w:cs="Times New Roman"/>
        </w:rPr>
      </w:pPr>
      <w:r>
        <w:rPr>
          <w:rFonts w:ascii="Times New Roman" w:hAnsi="Times New Roman" w:cs="Times New Roman"/>
        </w:rPr>
        <w:t>（3）委托代理人社保证明。</w:t>
      </w:r>
    </w:p>
    <w:p w14:paraId="7D2CC806">
      <w:pPr>
        <w:spacing w:line="300" w:lineRule="auto"/>
        <w:rPr>
          <w:rFonts w:ascii="Times New Roman" w:hAnsi="Times New Roman" w:cs="Times New Roman"/>
          <w:szCs w:val="21"/>
        </w:rPr>
      </w:pPr>
    </w:p>
    <w:p w14:paraId="3A0296D9">
      <w:pPr>
        <w:spacing w:line="300" w:lineRule="auto"/>
        <w:rPr>
          <w:rFonts w:ascii="Times New Roman" w:hAnsi="Times New Roman" w:cs="Times New Roman"/>
          <w:szCs w:val="21"/>
        </w:rPr>
      </w:pPr>
    </w:p>
    <w:p w14:paraId="1061E8AA">
      <w:pPr>
        <w:spacing w:line="300" w:lineRule="auto"/>
        <w:rPr>
          <w:rFonts w:ascii="Times New Roman" w:hAnsi="Times New Roman" w:cs="Times New Roman"/>
        </w:rPr>
      </w:pPr>
      <w:r>
        <w:rPr>
          <w:rFonts w:ascii="Times New Roman" w:hAnsi="Times New Roman" w:cs="Times New Roman"/>
        </w:rPr>
        <w:t>投标人：</w:t>
      </w:r>
      <w:r>
        <w:rPr>
          <w:rFonts w:ascii="Times New Roman" w:hAnsi="Times New Roman" w:cs="Times New Roman"/>
          <w:u w:val="single"/>
        </w:rPr>
        <w:t xml:space="preserve">                               </w:t>
      </w:r>
      <w:r>
        <w:rPr>
          <w:rFonts w:ascii="Times New Roman" w:hAnsi="Times New Roman" w:cs="Times New Roman"/>
        </w:rPr>
        <w:t>（盖单位章）</w:t>
      </w:r>
    </w:p>
    <w:p w14:paraId="17276F78">
      <w:pPr>
        <w:spacing w:line="300" w:lineRule="auto"/>
        <w:rPr>
          <w:rFonts w:ascii="Times New Roman" w:hAnsi="Times New Roman" w:cs="Times New Roman"/>
        </w:rPr>
      </w:pPr>
    </w:p>
    <w:p w14:paraId="5EEBFA6D">
      <w:pPr>
        <w:spacing w:line="300" w:lineRule="auto"/>
        <w:rPr>
          <w:rFonts w:ascii="Times New Roman" w:hAnsi="Times New Roman" w:cs="Times New Roman"/>
        </w:rPr>
      </w:pPr>
      <w:r>
        <w:rPr>
          <w:rFonts w:ascii="Times New Roman" w:hAnsi="Times New Roman" w:cs="Times New Roman"/>
        </w:rPr>
        <w:t>法定代表人：</w:t>
      </w:r>
      <w:r>
        <w:rPr>
          <w:rFonts w:ascii="Times New Roman" w:hAnsi="Times New Roman" w:cs="Times New Roman"/>
          <w:u w:val="single"/>
        </w:rPr>
        <w:t xml:space="preserve">                               </w:t>
      </w:r>
      <w:r>
        <w:rPr>
          <w:rFonts w:ascii="Times New Roman" w:hAnsi="Times New Roman" w:cs="Times New Roman"/>
        </w:rPr>
        <w:t>（签字并盖章）</w:t>
      </w:r>
    </w:p>
    <w:p w14:paraId="1DF30B68">
      <w:pPr>
        <w:spacing w:line="300" w:lineRule="auto"/>
        <w:rPr>
          <w:rFonts w:ascii="Times New Roman" w:hAnsi="Times New Roman" w:cs="Times New Roman"/>
        </w:rPr>
      </w:pPr>
    </w:p>
    <w:p w14:paraId="1009462A">
      <w:pPr>
        <w:spacing w:line="300" w:lineRule="auto"/>
        <w:rPr>
          <w:rFonts w:ascii="Times New Roman" w:hAnsi="Times New Roman" w:cs="Times New Roman"/>
        </w:rPr>
      </w:pPr>
      <w:r>
        <w:rPr>
          <w:rFonts w:ascii="Times New Roman" w:hAnsi="Times New Roman" w:cs="Times New Roman"/>
        </w:rPr>
        <w:t>身份证号码：</w:t>
      </w:r>
      <w:r>
        <w:rPr>
          <w:rFonts w:ascii="Times New Roman" w:hAnsi="Times New Roman" w:cs="Times New Roman"/>
          <w:u w:val="single"/>
        </w:rPr>
        <w:t xml:space="preserve">                                     </w:t>
      </w:r>
    </w:p>
    <w:p w14:paraId="4ED56145">
      <w:pPr>
        <w:spacing w:line="300" w:lineRule="auto"/>
        <w:rPr>
          <w:rFonts w:ascii="Times New Roman" w:hAnsi="Times New Roman" w:cs="Times New Roman"/>
        </w:rPr>
      </w:pPr>
    </w:p>
    <w:p w14:paraId="6B016DC1">
      <w:pPr>
        <w:spacing w:line="300" w:lineRule="auto"/>
        <w:rPr>
          <w:rFonts w:ascii="Times New Roman" w:hAnsi="Times New Roman" w:cs="Times New Roman"/>
        </w:rPr>
      </w:pPr>
      <w:r>
        <w:rPr>
          <w:rFonts w:ascii="Times New Roman" w:hAnsi="Times New Roman" w:cs="Times New Roman"/>
        </w:rPr>
        <w:t>委托代理人：</w:t>
      </w:r>
      <w:r>
        <w:rPr>
          <w:rFonts w:ascii="Times New Roman" w:hAnsi="Times New Roman" w:cs="Times New Roman"/>
          <w:u w:val="single"/>
        </w:rPr>
        <w:t xml:space="preserve">                                   </w:t>
      </w:r>
      <w:r>
        <w:rPr>
          <w:rFonts w:ascii="Times New Roman" w:hAnsi="Times New Roman" w:cs="Times New Roman"/>
        </w:rPr>
        <w:t xml:space="preserve">（签字） </w:t>
      </w:r>
    </w:p>
    <w:p w14:paraId="30DC6F37">
      <w:pPr>
        <w:spacing w:line="300" w:lineRule="auto"/>
        <w:rPr>
          <w:rFonts w:ascii="Times New Roman" w:hAnsi="Times New Roman" w:cs="Times New Roman"/>
        </w:rPr>
      </w:pPr>
    </w:p>
    <w:p w14:paraId="13A34C40">
      <w:pPr>
        <w:spacing w:line="300" w:lineRule="auto"/>
        <w:rPr>
          <w:rFonts w:ascii="Times New Roman" w:hAnsi="Times New Roman" w:cs="Times New Roman"/>
        </w:rPr>
      </w:pPr>
      <w:r>
        <w:rPr>
          <w:rFonts w:ascii="Times New Roman" w:hAnsi="Times New Roman" w:cs="Times New Roman"/>
        </w:rPr>
        <w:t>身份证号码：</w:t>
      </w:r>
      <w:r>
        <w:rPr>
          <w:rFonts w:ascii="Times New Roman" w:hAnsi="Times New Roman" w:cs="Times New Roman"/>
          <w:u w:val="single"/>
        </w:rPr>
        <w:t xml:space="preserve">                                      </w:t>
      </w:r>
    </w:p>
    <w:p w14:paraId="7AB100B9">
      <w:pPr>
        <w:spacing w:line="300" w:lineRule="auto"/>
        <w:rPr>
          <w:rFonts w:ascii="Times New Roman" w:hAnsi="Times New Roman" w:cs="Times New Roman"/>
        </w:rPr>
      </w:pPr>
    </w:p>
    <w:p w14:paraId="7375B25D">
      <w:pPr>
        <w:spacing w:line="300" w:lineRule="auto"/>
        <w:rPr>
          <w:rFonts w:ascii="Times New Roman" w:hAnsi="Times New Roman" w:cs="Times New Roman"/>
        </w:rPr>
      </w:pPr>
    </w:p>
    <w:p w14:paraId="05488F0D">
      <w:pPr>
        <w:spacing w:line="300" w:lineRule="auto"/>
        <w:ind w:firstLine="2640" w:firstLineChars="1100"/>
        <w:rPr>
          <w:rFonts w:ascii="Times New Roman" w:hAnsi="Times New Roman" w:cs="Times New Roman"/>
        </w:rPr>
      </w:pPr>
      <w:r>
        <w:rPr>
          <w:rFonts w:ascii="Times New Roman" w:hAnsi="Times New Roman" w:cs="Times New Roman"/>
          <w:u w:val="single"/>
        </w:rPr>
        <w:t xml:space="preserve">       </w:t>
      </w:r>
      <w:r>
        <w:rPr>
          <w:rFonts w:ascii="Times New Roman" w:hAnsi="Times New Roman" w:cs="Times New Roman"/>
        </w:rPr>
        <w:t>年</w:t>
      </w:r>
      <w:r>
        <w:rPr>
          <w:rFonts w:ascii="Times New Roman" w:hAnsi="Times New Roman" w:cs="Times New Roman"/>
          <w:u w:val="single"/>
        </w:rPr>
        <w:t xml:space="preserve">       </w:t>
      </w:r>
      <w:r>
        <w:rPr>
          <w:rFonts w:ascii="Times New Roman" w:hAnsi="Times New Roman" w:cs="Times New Roman"/>
        </w:rPr>
        <w:t>月</w:t>
      </w:r>
      <w:r>
        <w:rPr>
          <w:rFonts w:ascii="Times New Roman" w:hAnsi="Times New Roman" w:cs="Times New Roman"/>
          <w:u w:val="single"/>
        </w:rPr>
        <w:t xml:space="preserve">       </w:t>
      </w:r>
      <w:r>
        <w:rPr>
          <w:rFonts w:ascii="Times New Roman" w:hAnsi="Times New Roman" w:cs="Times New Roman"/>
        </w:rPr>
        <w:t>日</w:t>
      </w:r>
    </w:p>
    <w:p w14:paraId="4BA4A38A">
      <w:pPr>
        <w:widowControl/>
        <w:rPr>
          <w:rFonts w:ascii="Times New Roman" w:hAnsi="Times New Roman" w:cs="Times New Roman"/>
        </w:rPr>
      </w:pPr>
      <w:r>
        <w:rPr>
          <w:rFonts w:ascii="Times New Roman" w:hAnsi="Times New Roman" w:cs="Times New Roman"/>
        </w:rPr>
        <w:br w:type="page"/>
      </w:r>
    </w:p>
    <w:p w14:paraId="0622B95B">
      <w:pPr>
        <w:spacing w:line="300" w:lineRule="auto"/>
        <w:jc w:val="center"/>
        <w:outlineLvl w:val="1"/>
        <w:rPr>
          <w:rFonts w:asciiTheme="minorEastAsia" w:hAnsiTheme="minorEastAsia" w:eastAsiaTheme="minorEastAsia"/>
          <w:b/>
          <w:bCs/>
          <w:color w:val="auto"/>
          <w:sz w:val="32"/>
          <w:szCs w:val="32"/>
        </w:rPr>
      </w:pPr>
      <w:r>
        <w:rPr>
          <w:rFonts w:hint="eastAsia" w:asciiTheme="minorEastAsia" w:hAnsiTheme="minorEastAsia" w:eastAsiaTheme="minorEastAsia"/>
          <w:b/>
          <w:bCs/>
          <w:color w:val="auto"/>
          <w:sz w:val="32"/>
          <w:szCs w:val="32"/>
        </w:rPr>
        <w:t>四、投标保证金</w:t>
      </w:r>
    </w:p>
    <w:p w14:paraId="7D2D91D3">
      <w:pPr>
        <w:spacing w:line="560" w:lineRule="exact"/>
        <w:ind w:firstLine="480" w:firstLineChars="200"/>
        <w:rPr>
          <w:rFonts w:ascii="Times New Roman" w:hAnsi="Times New Roman" w:cs="Times New Roman"/>
          <w:szCs w:val="32"/>
        </w:rPr>
      </w:pPr>
      <w:r>
        <w:rPr>
          <w:rFonts w:ascii="Times New Roman" w:hAnsi="Times New Roman" w:cs="Times New Roman"/>
          <w:szCs w:val="32"/>
        </w:rPr>
        <w:t>采用现金或支票，投标人应在此提供交款回单的复印件。</w:t>
      </w:r>
    </w:p>
    <w:p w14:paraId="58404D94">
      <w:pPr>
        <w:rPr>
          <w:rFonts w:ascii="Times New Roman" w:hAnsi="Times New Roman" w:cs="Times New Roman"/>
          <w:sz w:val="22"/>
          <w:szCs w:val="21"/>
        </w:rPr>
      </w:pPr>
      <w:r>
        <w:rPr>
          <w:rFonts w:ascii="Times New Roman" w:hAnsi="Times New Roman" w:cs="Times New Roman"/>
          <w:sz w:val="22"/>
          <w:szCs w:val="21"/>
        </w:rPr>
        <w:br w:type="page"/>
      </w:r>
    </w:p>
    <w:p w14:paraId="35ECFF68">
      <w:pPr>
        <w:spacing w:line="300" w:lineRule="auto"/>
        <w:jc w:val="center"/>
        <w:outlineLvl w:val="1"/>
        <w:rPr>
          <w:rFonts w:asciiTheme="minorEastAsia" w:hAnsiTheme="minorEastAsia" w:eastAsiaTheme="minorEastAsia"/>
          <w:b/>
          <w:bCs/>
          <w:sz w:val="32"/>
          <w:szCs w:val="32"/>
        </w:rPr>
      </w:pPr>
      <w:r>
        <w:rPr>
          <w:rFonts w:hint="eastAsia" w:asciiTheme="minorEastAsia" w:hAnsiTheme="minorEastAsia" w:eastAsiaTheme="minorEastAsia"/>
          <w:b/>
          <w:bCs/>
          <w:sz w:val="32"/>
          <w:szCs w:val="32"/>
        </w:rPr>
        <w:t>五、资格审查资料</w:t>
      </w:r>
    </w:p>
    <w:p w14:paraId="600F0E0C">
      <w:pPr>
        <w:spacing w:line="360" w:lineRule="auto"/>
        <w:rPr>
          <w:rFonts w:ascii="Times New Roman" w:hAnsi="Times New Roman" w:cs="Times New Roman"/>
          <w:bCs/>
          <w:szCs w:val="32"/>
        </w:rPr>
      </w:pPr>
      <w:bookmarkStart w:id="295" w:name="_Toc337496474"/>
      <w:r>
        <w:rPr>
          <w:rFonts w:ascii="Times New Roman" w:hAnsi="Times New Roman" w:cs="Times New Roman"/>
          <w:bCs/>
          <w:szCs w:val="32"/>
        </w:rPr>
        <w:t>5.1</w:t>
      </w:r>
      <w:bookmarkEnd w:id="295"/>
      <w:r>
        <w:rPr>
          <w:rFonts w:ascii="Times New Roman" w:hAnsi="Times New Roman" w:cs="Times New Roman"/>
          <w:bCs/>
          <w:szCs w:val="32"/>
        </w:rPr>
        <w:t>投标人基本情况及证书复印件</w:t>
      </w:r>
    </w:p>
    <w:p w14:paraId="3C9AD753">
      <w:pPr>
        <w:spacing w:line="360" w:lineRule="auto"/>
        <w:jc w:val="center"/>
        <w:rPr>
          <w:rFonts w:ascii="Times New Roman" w:hAnsi="Times New Roman" w:cs="Times New Roman"/>
          <w:b/>
          <w:szCs w:val="32"/>
        </w:rPr>
      </w:pPr>
      <w:r>
        <w:rPr>
          <w:rFonts w:ascii="Times New Roman" w:hAnsi="Times New Roman" w:cs="Times New Roman"/>
          <w:b/>
          <w:szCs w:val="32"/>
        </w:rPr>
        <w:t>基本情况</w:t>
      </w:r>
    </w:p>
    <w:tbl>
      <w:tblPr>
        <w:tblStyle w:val="23"/>
        <w:tblW w:w="921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60"/>
        <w:gridCol w:w="1417"/>
        <w:gridCol w:w="1097"/>
        <w:gridCol w:w="732"/>
        <w:gridCol w:w="923"/>
        <w:gridCol w:w="1147"/>
        <w:gridCol w:w="198"/>
        <w:gridCol w:w="652"/>
        <w:gridCol w:w="1490"/>
      </w:tblGrid>
      <w:tr w14:paraId="142D2A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560" w:type="dxa"/>
            <w:tcBorders>
              <w:top w:val="single" w:color="000000" w:sz="4" w:space="0"/>
              <w:left w:val="single" w:color="000000" w:sz="4" w:space="0"/>
              <w:bottom w:val="single" w:color="000000" w:sz="4" w:space="0"/>
              <w:right w:val="single" w:color="000000" w:sz="4" w:space="0"/>
            </w:tcBorders>
            <w:vAlign w:val="center"/>
          </w:tcPr>
          <w:p w14:paraId="1B435363">
            <w:pPr>
              <w:topLinePunct/>
              <w:spacing w:line="360" w:lineRule="auto"/>
              <w:jc w:val="center"/>
              <w:rPr>
                <w:rFonts w:ascii="Times New Roman" w:hAnsi="Times New Roman" w:cs="Times New Roman"/>
              </w:rPr>
            </w:pPr>
            <w:r>
              <w:rPr>
                <w:rFonts w:ascii="Times New Roman" w:hAnsi="Times New Roman" w:cs="Times New Roman"/>
              </w:rPr>
              <w:t>投标人名称</w:t>
            </w:r>
          </w:p>
        </w:tc>
        <w:tc>
          <w:tcPr>
            <w:tcW w:w="7656" w:type="dxa"/>
            <w:gridSpan w:val="8"/>
            <w:tcBorders>
              <w:top w:val="single" w:color="000000" w:sz="4" w:space="0"/>
              <w:left w:val="single" w:color="000000" w:sz="4" w:space="0"/>
              <w:bottom w:val="single" w:color="000000" w:sz="4" w:space="0"/>
              <w:right w:val="single" w:color="000000" w:sz="4" w:space="0"/>
            </w:tcBorders>
            <w:vAlign w:val="center"/>
          </w:tcPr>
          <w:p w14:paraId="00E2B457">
            <w:pPr>
              <w:topLinePunct/>
              <w:spacing w:line="360" w:lineRule="auto"/>
              <w:jc w:val="center"/>
              <w:rPr>
                <w:rFonts w:ascii="Times New Roman" w:hAnsi="Times New Roman" w:cs="Times New Roman"/>
              </w:rPr>
            </w:pPr>
          </w:p>
        </w:tc>
      </w:tr>
      <w:tr w14:paraId="6281A2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560" w:type="dxa"/>
            <w:tcBorders>
              <w:top w:val="single" w:color="000000" w:sz="4" w:space="0"/>
              <w:left w:val="single" w:color="000000" w:sz="4" w:space="0"/>
              <w:bottom w:val="single" w:color="000000" w:sz="4" w:space="0"/>
              <w:right w:val="single" w:color="000000" w:sz="4" w:space="0"/>
            </w:tcBorders>
            <w:vAlign w:val="center"/>
          </w:tcPr>
          <w:p w14:paraId="23B104EA">
            <w:pPr>
              <w:topLinePunct/>
              <w:spacing w:line="360" w:lineRule="auto"/>
              <w:jc w:val="center"/>
              <w:rPr>
                <w:rFonts w:ascii="Times New Roman" w:hAnsi="Times New Roman" w:cs="Times New Roman"/>
              </w:rPr>
            </w:pPr>
            <w:r>
              <w:rPr>
                <w:rFonts w:ascii="Times New Roman" w:hAnsi="Times New Roman" w:cs="Times New Roman"/>
              </w:rPr>
              <w:t>注册地址</w:t>
            </w:r>
          </w:p>
        </w:tc>
        <w:tc>
          <w:tcPr>
            <w:tcW w:w="4169" w:type="dxa"/>
            <w:gridSpan w:val="4"/>
            <w:tcBorders>
              <w:top w:val="single" w:color="000000" w:sz="4" w:space="0"/>
              <w:left w:val="single" w:color="000000" w:sz="4" w:space="0"/>
              <w:bottom w:val="single" w:color="000000" w:sz="4" w:space="0"/>
              <w:right w:val="single" w:color="000000" w:sz="4" w:space="0"/>
            </w:tcBorders>
            <w:vAlign w:val="center"/>
          </w:tcPr>
          <w:p w14:paraId="59164BDA">
            <w:pPr>
              <w:topLinePunct/>
              <w:spacing w:line="360" w:lineRule="auto"/>
              <w:jc w:val="center"/>
              <w:rPr>
                <w:rFonts w:ascii="Times New Roman" w:hAnsi="Times New Roman" w:cs="Times New Roman"/>
              </w:rPr>
            </w:pPr>
          </w:p>
        </w:tc>
        <w:tc>
          <w:tcPr>
            <w:tcW w:w="1147" w:type="dxa"/>
            <w:tcBorders>
              <w:top w:val="single" w:color="000000" w:sz="4" w:space="0"/>
              <w:left w:val="single" w:color="000000" w:sz="4" w:space="0"/>
              <w:bottom w:val="single" w:color="000000" w:sz="4" w:space="0"/>
              <w:right w:val="single" w:color="000000" w:sz="4" w:space="0"/>
            </w:tcBorders>
            <w:vAlign w:val="center"/>
          </w:tcPr>
          <w:p w14:paraId="4768CD4A">
            <w:pPr>
              <w:topLinePunct/>
              <w:spacing w:line="360" w:lineRule="auto"/>
              <w:ind w:left="-120" w:leftChars="-50" w:right="-120" w:rightChars="-50"/>
              <w:jc w:val="center"/>
              <w:rPr>
                <w:rFonts w:ascii="Times New Roman" w:hAnsi="Times New Roman" w:cs="Times New Roman"/>
              </w:rPr>
            </w:pPr>
            <w:r>
              <w:rPr>
                <w:rFonts w:ascii="Times New Roman" w:hAnsi="Times New Roman" w:cs="Times New Roman"/>
              </w:rPr>
              <w:t>邮政编码</w:t>
            </w:r>
          </w:p>
        </w:tc>
        <w:tc>
          <w:tcPr>
            <w:tcW w:w="2340" w:type="dxa"/>
            <w:gridSpan w:val="3"/>
            <w:tcBorders>
              <w:top w:val="single" w:color="000000" w:sz="4" w:space="0"/>
              <w:left w:val="single" w:color="000000" w:sz="4" w:space="0"/>
              <w:bottom w:val="single" w:color="000000" w:sz="4" w:space="0"/>
              <w:right w:val="single" w:color="000000" w:sz="4" w:space="0"/>
            </w:tcBorders>
            <w:vAlign w:val="center"/>
          </w:tcPr>
          <w:p w14:paraId="1A985F02">
            <w:pPr>
              <w:topLinePunct/>
              <w:spacing w:line="360" w:lineRule="auto"/>
              <w:jc w:val="center"/>
              <w:rPr>
                <w:rFonts w:ascii="Times New Roman" w:hAnsi="Times New Roman" w:cs="Times New Roman"/>
              </w:rPr>
            </w:pPr>
          </w:p>
        </w:tc>
      </w:tr>
      <w:tr w14:paraId="20CF58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3" w:hRule="atLeast"/>
        </w:trPr>
        <w:tc>
          <w:tcPr>
            <w:tcW w:w="1560" w:type="dxa"/>
            <w:tcBorders>
              <w:top w:val="single" w:color="000000" w:sz="4" w:space="0"/>
              <w:left w:val="single" w:color="000000" w:sz="4" w:space="0"/>
              <w:bottom w:val="single" w:color="000000" w:sz="4" w:space="0"/>
              <w:right w:val="single" w:color="000000" w:sz="4" w:space="0"/>
            </w:tcBorders>
            <w:vAlign w:val="center"/>
          </w:tcPr>
          <w:p w14:paraId="223EFDC4">
            <w:pPr>
              <w:topLinePunct/>
              <w:adjustRightInd w:val="0"/>
              <w:snapToGrid w:val="0"/>
              <w:spacing w:line="360" w:lineRule="auto"/>
              <w:jc w:val="center"/>
              <w:rPr>
                <w:rFonts w:ascii="Times New Roman" w:hAnsi="Times New Roman" w:cs="Times New Roman"/>
              </w:rPr>
            </w:pPr>
            <w:r>
              <w:rPr>
                <w:rFonts w:ascii="Times New Roman" w:hAnsi="Times New Roman" w:cs="Times New Roman"/>
              </w:rPr>
              <w:t>成立或</w:t>
            </w:r>
          </w:p>
          <w:p w14:paraId="659A0737">
            <w:pPr>
              <w:topLinePunct/>
              <w:adjustRightInd w:val="0"/>
              <w:snapToGrid w:val="0"/>
              <w:spacing w:line="360" w:lineRule="auto"/>
              <w:jc w:val="center"/>
              <w:rPr>
                <w:rFonts w:ascii="Times New Roman" w:hAnsi="Times New Roman" w:cs="Times New Roman"/>
              </w:rPr>
            </w:pPr>
            <w:r>
              <w:rPr>
                <w:rFonts w:ascii="Times New Roman" w:hAnsi="Times New Roman" w:cs="Times New Roman"/>
              </w:rPr>
              <w:t>注册时间</w:t>
            </w:r>
          </w:p>
        </w:tc>
        <w:tc>
          <w:tcPr>
            <w:tcW w:w="4169" w:type="dxa"/>
            <w:gridSpan w:val="4"/>
            <w:tcBorders>
              <w:top w:val="single" w:color="000000" w:sz="4" w:space="0"/>
              <w:left w:val="single" w:color="000000" w:sz="4" w:space="0"/>
              <w:bottom w:val="single" w:color="000000" w:sz="4" w:space="0"/>
              <w:right w:val="single" w:color="000000" w:sz="4" w:space="0"/>
            </w:tcBorders>
            <w:vAlign w:val="center"/>
          </w:tcPr>
          <w:p w14:paraId="6113BFF7">
            <w:pPr>
              <w:topLinePunct/>
              <w:spacing w:line="360" w:lineRule="auto"/>
              <w:jc w:val="center"/>
              <w:rPr>
                <w:rFonts w:ascii="Times New Roman" w:hAnsi="Times New Roman" w:cs="Times New Roman"/>
              </w:rPr>
            </w:pPr>
          </w:p>
        </w:tc>
        <w:tc>
          <w:tcPr>
            <w:tcW w:w="1147" w:type="dxa"/>
            <w:tcBorders>
              <w:top w:val="single" w:color="000000" w:sz="4" w:space="0"/>
              <w:left w:val="single" w:color="000000" w:sz="4" w:space="0"/>
              <w:bottom w:val="single" w:color="000000" w:sz="4" w:space="0"/>
              <w:right w:val="single" w:color="000000" w:sz="4" w:space="0"/>
            </w:tcBorders>
            <w:vAlign w:val="center"/>
          </w:tcPr>
          <w:p w14:paraId="4DB851A7">
            <w:pPr>
              <w:topLinePunct/>
              <w:spacing w:line="360" w:lineRule="auto"/>
              <w:ind w:left="-120" w:leftChars="-50" w:right="-120" w:rightChars="-50"/>
              <w:jc w:val="center"/>
              <w:rPr>
                <w:rFonts w:ascii="Times New Roman" w:hAnsi="Times New Roman" w:cs="Times New Roman"/>
              </w:rPr>
            </w:pPr>
            <w:r>
              <w:rPr>
                <w:rFonts w:ascii="Times New Roman" w:hAnsi="Times New Roman" w:cs="Times New Roman"/>
              </w:rPr>
              <w:t>注册资金</w:t>
            </w:r>
          </w:p>
        </w:tc>
        <w:tc>
          <w:tcPr>
            <w:tcW w:w="2340" w:type="dxa"/>
            <w:gridSpan w:val="3"/>
            <w:tcBorders>
              <w:top w:val="single" w:color="000000" w:sz="4" w:space="0"/>
              <w:left w:val="single" w:color="000000" w:sz="4" w:space="0"/>
              <w:bottom w:val="single" w:color="000000" w:sz="4" w:space="0"/>
              <w:right w:val="single" w:color="000000" w:sz="4" w:space="0"/>
            </w:tcBorders>
            <w:vAlign w:val="center"/>
          </w:tcPr>
          <w:p w14:paraId="3321553A">
            <w:pPr>
              <w:topLinePunct/>
              <w:spacing w:line="360" w:lineRule="auto"/>
              <w:jc w:val="center"/>
              <w:rPr>
                <w:rFonts w:ascii="Times New Roman" w:hAnsi="Times New Roman" w:cs="Times New Roman"/>
              </w:rPr>
            </w:pPr>
          </w:p>
        </w:tc>
      </w:tr>
      <w:tr w14:paraId="1AF089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560" w:type="dxa"/>
            <w:tcBorders>
              <w:top w:val="single" w:color="000000" w:sz="4" w:space="0"/>
              <w:left w:val="single" w:color="000000" w:sz="4" w:space="0"/>
              <w:bottom w:val="single" w:color="000000" w:sz="4" w:space="0"/>
              <w:right w:val="single" w:color="000000" w:sz="4" w:space="0"/>
            </w:tcBorders>
            <w:vAlign w:val="center"/>
          </w:tcPr>
          <w:p w14:paraId="4D85FCAF">
            <w:pPr>
              <w:topLinePunct/>
              <w:spacing w:line="360" w:lineRule="auto"/>
              <w:jc w:val="center"/>
              <w:rPr>
                <w:rFonts w:ascii="Times New Roman" w:hAnsi="Times New Roman" w:cs="Times New Roman"/>
              </w:rPr>
            </w:pPr>
            <w:r>
              <w:rPr>
                <w:rFonts w:ascii="Times New Roman" w:hAnsi="Times New Roman" w:cs="Times New Roman"/>
              </w:rPr>
              <w:t>主要负责人</w:t>
            </w:r>
          </w:p>
        </w:tc>
        <w:tc>
          <w:tcPr>
            <w:tcW w:w="4169" w:type="dxa"/>
            <w:gridSpan w:val="4"/>
            <w:tcBorders>
              <w:top w:val="single" w:color="000000" w:sz="4" w:space="0"/>
              <w:left w:val="single" w:color="000000" w:sz="4" w:space="0"/>
              <w:bottom w:val="single" w:color="000000" w:sz="4" w:space="0"/>
              <w:right w:val="single" w:color="000000" w:sz="4" w:space="0"/>
            </w:tcBorders>
            <w:vAlign w:val="center"/>
          </w:tcPr>
          <w:p w14:paraId="283B9407">
            <w:pPr>
              <w:topLinePunct/>
              <w:spacing w:line="360" w:lineRule="auto"/>
              <w:jc w:val="center"/>
              <w:rPr>
                <w:rFonts w:ascii="Times New Roman" w:hAnsi="Times New Roman" w:cs="Times New Roman"/>
              </w:rPr>
            </w:pPr>
          </w:p>
        </w:tc>
        <w:tc>
          <w:tcPr>
            <w:tcW w:w="1147" w:type="dxa"/>
            <w:tcBorders>
              <w:top w:val="single" w:color="000000" w:sz="4" w:space="0"/>
              <w:left w:val="single" w:color="000000" w:sz="4" w:space="0"/>
              <w:bottom w:val="single" w:color="000000" w:sz="4" w:space="0"/>
              <w:right w:val="single" w:color="000000" w:sz="4" w:space="0"/>
            </w:tcBorders>
            <w:vAlign w:val="center"/>
          </w:tcPr>
          <w:p w14:paraId="10AA8AD7">
            <w:pPr>
              <w:topLinePunct/>
              <w:spacing w:line="360" w:lineRule="auto"/>
              <w:ind w:left="-120" w:leftChars="-50" w:right="-120" w:rightChars="-50"/>
              <w:jc w:val="center"/>
              <w:rPr>
                <w:rFonts w:ascii="Times New Roman" w:hAnsi="Times New Roman" w:cs="Times New Roman"/>
              </w:rPr>
            </w:pPr>
            <w:r>
              <w:rPr>
                <w:rFonts w:ascii="Times New Roman" w:hAnsi="Times New Roman" w:cs="Times New Roman"/>
              </w:rPr>
              <w:t>电话</w:t>
            </w:r>
          </w:p>
        </w:tc>
        <w:tc>
          <w:tcPr>
            <w:tcW w:w="2340" w:type="dxa"/>
            <w:gridSpan w:val="3"/>
            <w:tcBorders>
              <w:top w:val="single" w:color="000000" w:sz="4" w:space="0"/>
              <w:left w:val="single" w:color="000000" w:sz="4" w:space="0"/>
              <w:bottom w:val="single" w:color="000000" w:sz="4" w:space="0"/>
              <w:right w:val="single" w:color="000000" w:sz="4" w:space="0"/>
            </w:tcBorders>
            <w:vAlign w:val="center"/>
          </w:tcPr>
          <w:p w14:paraId="799D19B7">
            <w:pPr>
              <w:topLinePunct/>
              <w:spacing w:line="360" w:lineRule="auto"/>
              <w:jc w:val="center"/>
              <w:rPr>
                <w:rFonts w:ascii="Times New Roman" w:hAnsi="Times New Roman" w:cs="Times New Roman"/>
              </w:rPr>
            </w:pPr>
          </w:p>
        </w:tc>
      </w:tr>
      <w:tr w14:paraId="726EB3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560" w:type="dxa"/>
            <w:vMerge w:val="restart"/>
            <w:tcBorders>
              <w:top w:val="single" w:color="000000" w:sz="4" w:space="0"/>
              <w:left w:val="single" w:color="000000" w:sz="4" w:space="0"/>
              <w:bottom w:val="single" w:color="000000" w:sz="4" w:space="0"/>
              <w:right w:val="single" w:color="000000" w:sz="4" w:space="0"/>
            </w:tcBorders>
            <w:vAlign w:val="center"/>
          </w:tcPr>
          <w:p w14:paraId="18E53A27">
            <w:pPr>
              <w:topLinePunct/>
              <w:spacing w:line="360" w:lineRule="auto"/>
              <w:jc w:val="center"/>
              <w:rPr>
                <w:rFonts w:ascii="Times New Roman" w:hAnsi="Times New Roman" w:cs="Times New Roman"/>
              </w:rPr>
            </w:pPr>
            <w:r>
              <w:rPr>
                <w:rFonts w:ascii="Times New Roman" w:hAnsi="Times New Roman" w:cs="Times New Roman"/>
              </w:rPr>
              <w:t>联系方式</w:t>
            </w:r>
          </w:p>
        </w:tc>
        <w:tc>
          <w:tcPr>
            <w:tcW w:w="1417" w:type="dxa"/>
            <w:tcBorders>
              <w:top w:val="single" w:color="000000" w:sz="4" w:space="0"/>
              <w:left w:val="single" w:color="000000" w:sz="4" w:space="0"/>
              <w:bottom w:val="single" w:color="000000" w:sz="4" w:space="0"/>
              <w:right w:val="single" w:color="000000" w:sz="4" w:space="0"/>
            </w:tcBorders>
            <w:vAlign w:val="center"/>
          </w:tcPr>
          <w:p w14:paraId="2CF4A85C">
            <w:pPr>
              <w:topLinePunct/>
              <w:spacing w:line="360" w:lineRule="auto"/>
              <w:jc w:val="center"/>
              <w:rPr>
                <w:rFonts w:ascii="Times New Roman" w:hAnsi="Times New Roman" w:cs="Times New Roman"/>
              </w:rPr>
            </w:pPr>
            <w:r>
              <w:rPr>
                <w:rFonts w:ascii="Times New Roman" w:hAnsi="Times New Roman" w:cs="Times New Roman"/>
              </w:rPr>
              <w:t>联系人</w:t>
            </w:r>
          </w:p>
        </w:tc>
        <w:tc>
          <w:tcPr>
            <w:tcW w:w="2752" w:type="dxa"/>
            <w:gridSpan w:val="3"/>
            <w:tcBorders>
              <w:top w:val="single" w:color="000000" w:sz="4" w:space="0"/>
              <w:left w:val="single" w:color="000000" w:sz="4" w:space="0"/>
              <w:bottom w:val="single" w:color="000000" w:sz="4" w:space="0"/>
              <w:right w:val="single" w:color="000000" w:sz="4" w:space="0"/>
            </w:tcBorders>
            <w:vAlign w:val="center"/>
          </w:tcPr>
          <w:p w14:paraId="40EBA21F">
            <w:pPr>
              <w:topLinePunct/>
              <w:spacing w:line="360" w:lineRule="auto"/>
              <w:jc w:val="center"/>
              <w:rPr>
                <w:rFonts w:ascii="Times New Roman" w:hAnsi="Times New Roman" w:cs="Times New Roman"/>
              </w:rPr>
            </w:pPr>
          </w:p>
        </w:tc>
        <w:tc>
          <w:tcPr>
            <w:tcW w:w="1147" w:type="dxa"/>
            <w:tcBorders>
              <w:top w:val="single" w:color="000000" w:sz="4" w:space="0"/>
              <w:left w:val="single" w:color="000000" w:sz="4" w:space="0"/>
              <w:bottom w:val="single" w:color="000000" w:sz="4" w:space="0"/>
              <w:right w:val="single" w:color="000000" w:sz="4" w:space="0"/>
            </w:tcBorders>
            <w:vAlign w:val="center"/>
          </w:tcPr>
          <w:p w14:paraId="2AB74ACB">
            <w:pPr>
              <w:topLinePunct/>
              <w:spacing w:line="360" w:lineRule="auto"/>
              <w:ind w:left="-120" w:leftChars="-50" w:right="-120" w:rightChars="-50"/>
              <w:jc w:val="center"/>
              <w:rPr>
                <w:rFonts w:ascii="Times New Roman" w:hAnsi="Times New Roman" w:cs="Times New Roman"/>
              </w:rPr>
            </w:pPr>
            <w:r>
              <w:rPr>
                <w:rFonts w:ascii="Times New Roman" w:hAnsi="Times New Roman" w:cs="Times New Roman"/>
              </w:rPr>
              <w:t>电话</w:t>
            </w:r>
          </w:p>
        </w:tc>
        <w:tc>
          <w:tcPr>
            <w:tcW w:w="2340" w:type="dxa"/>
            <w:gridSpan w:val="3"/>
            <w:tcBorders>
              <w:top w:val="single" w:color="000000" w:sz="4" w:space="0"/>
              <w:left w:val="single" w:color="000000" w:sz="4" w:space="0"/>
              <w:bottom w:val="single" w:color="000000" w:sz="4" w:space="0"/>
              <w:right w:val="single" w:color="000000" w:sz="4" w:space="0"/>
            </w:tcBorders>
            <w:vAlign w:val="center"/>
          </w:tcPr>
          <w:p w14:paraId="54BD04D1">
            <w:pPr>
              <w:topLinePunct/>
              <w:spacing w:line="360" w:lineRule="auto"/>
              <w:jc w:val="center"/>
              <w:rPr>
                <w:rFonts w:ascii="Times New Roman" w:hAnsi="Times New Roman" w:cs="Times New Roman"/>
              </w:rPr>
            </w:pPr>
          </w:p>
        </w:tc>
      </w:tr>
      <w:tr w14:paraId="77E321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560" w:type="dxa"/>
            <w:vMerge w:val="continue"/>
            <w:tcBorders>
              <w:top w:val="single" w:color="000000" w:sz="4" w:space="0"/>
              <w:left w:val="single" w:color="000000" w:sz="4" w:space="0"/>
              <w:bottom w:val="single" w:color="000000" w:sz="4" w:space="0"/>
              <w:right w:val="single" w:color="000000" w:sz="4" w:space="0"/>
            </w:tcBorders>
            <w:vAlign w:val="center"/>
          </w:tcPr>
          <w:p w14:paraId="1BDC7262">
            <w:pPr>
              <w:spacing w:line="360" w:lineRule="auto"/>
              <w:rPr>
                <w:rFonts w:ascii="Times New Roman" w:hAnsi="Times New Roman" w:cs="Times New Roman"/>
              </w:rPr>
            </w:pPr>
          </w:p>
        </w:tc>
        <w:tc>
          <w:tcPr>
            <w:tcW w:w="1417" w:type="dxa"/>
            <w:tcBorders>
              <w:top w:val="single" w:color="000000" w:sz="4" w:space="0"/>
              <w:left w:val="single" w:color="000000" w:sz="4" w:space="0"/>
              <w:bottom w:val="single" w:color="000000" w:sz="4" w:space="0"/>
              <w:right w:val="single" w:color="000000" w:sz="4" w:space="0"/>
            </w:tcBorders>
            <w:vAlign w:val="center"/>
          </w:tcPr>
          <w:p w14:paraId="731CD385">
            <w:pPr>
              <w:topLinePunct/>
              <w:spacing w:line="360" w:lineRule="auto"/>
              <w:jc w:val="center"/>
              <w:rPr>
                <w:rFonts w:ascii="Times New Roman" w:hAnsi="Times New Roman" w:cs="Times New Roman"/>
              </w:rPr>
            </w:pPr>
            <w:r>
              <w:rPr>
                <w:rFonts w:ascii="Times New Roman" w:hAnsi="Times New Roman" w:cs="Times New Roman"/>
              </w:rPr>
              <w:t>传  真</w:t>
            </w:r>
          </w:p>
        </w:tc>
        <w:tc>
          <w:tcPr>
            <w:tcW w:w="2752" w:type="dxa"/>
            <w:gridSpan w:val="3"/>
            <w:tcBorders>
              <w:top w:val="single" w:color="000000" w:sz="4" w:space="0"/>
              <w:left w:val="single" w:color="000000" w:sz="4" w:space="0"/>
              <w:bottom w:val="single" w:color="000000" w:sz="4" w:space="0"/>
              <w:right w:val="single" w:color="000000" w:sz="4" w:space="0"/>
            </w:tcBorders>
            <w:vAlign w:val="center"/>
          </w:tcPr>
          <w:p w14:paraId="33EB7ED1">
            <w:pPr>
              <w:topLinePunct/>
              <w:spacing w:line="360" w:lineRule="auto"/>
              <w:jc w:val="center"/>
              <w:rPr>
                <w:rFonts w:ascii="Times New Roman" w:hAnsi="Times New Roman" w:cs="Times New Roman"/>
              </w:rPr>
            </w:pPr>
          </w:p>
        </w:tc>
        <w:tc>
          <w:tcPr>
            <w:tcW w:w="1147" w:type="dxa"/>
            <w:tcBorders>
              <w:top w:val="single" w:color="000000" w:sz="4" w:space="0"/>
              <w:left w:val="single" w:color="000000" w:sz="4" w:space="0"/>
              <w:bottom w:val="single" w:color="000000" w:sz="4" w:space="0"/>
              <w:right w:val="single" w:color="000000" w:sz="4" w:space="0"/>
            </w:tcBorders>
            <w:vAlign w:val="center"/>
          </w:tcPr>
          <w:p w14:paraId="6C6CE82C">
            <w:pPr>
              <w:topLinePunct/>
              <w:spacing w:line="360" w:lineRule="auto"/>
              <w:ind w:left="-120" w:leftChars="-50" w:right="-120" w:rightChars="-50"/>
              <w:jc w:val="center"/>
              <w:rPr>
                <w:rFonts w:ascii="Times New Roman" w:hAnsi="Times New Roman" w:cs="Times New Roman"/>
              </w:rPr>
            </w:pPr>
            <w:r>
              <w:rPr>
                <w:rFonts w:ascii="Times New Roman" w:hAnsi="Times New Roman" w:cs="Times New Roman"/>
              </w:rPr>
              <w:t>电子邮箱</w:t>
            </w:r>
          </w:p>
        </w:tc>
        <w:tc>
          <w:tcPr>
            <w:tcW w:w="2340" w:type="dxa"/>
            <w:gridSpan w:val="3"/>
            <w:tcBorders>
              <w:top w:val="single" w:color="000000" w:sz="4" w:space="0"/>
              <w:left w:val="single" w:color="000000" w:sz="4" w:space="0"/>
              <w:bottom w:val="single" w:color="000000" w:sz="4" w:space="0"/>
              <w:right w:val="single" w:color="000000" w:sz="4" w:space="0"/>
            </w:tcBorders>
            <w:vAlign w:val="center"/>
          </w:tcPr>
          <w:p w14:paraId="2913CE6E">
            <w:pPr>
              <w:topLinePunct/>
              <w:spacing w:line="360" w:lineRule="auto"/>
              <w:jc w:val="center"/>
              <w:rPr>
                <w:rFonts w:ascii="Times New Roman" w:hAnsi="Times New Roman" w:cs="Times New Roman"/>
              </w:rPr>
            </w:pPr>
          </w:p>
        </w:tc>
      </w:tr>
      <w:tr w14:paraId="018852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560" w:type="dxa"/>
            <w:vMerge w:val="restart"/>
            <w:tcBorders>
              <w:top w:val="single" w:color="000000" w:sz="4" w:space="0"/>
              <w:left w:val="single" w:color="000000" w:sz="4" w:space="0"/>
              <w:bottom w:val="single" w:color="000000" w:sz="4" w:space="0"/>
              <w:right w:val="single" w:color="000000" w:sz="4" w:space="0"/>
            </w:tcBorders>
            <w:vAlign w:val="center"/>
          </w:tcPr>
          <w:p w14:paraId="5F98BA37">
            <w:pPr>
              <w:topLinePunct/>
              <w:spacing w:line="360" w:lineRule="auto"/>
              <w:jc w:val="center"/>
              <w:rPr>
                <w:rFonts w:ascii="Times New Roman" w:hAnsi="Times New Roman" w:cs="Times New Roman"/>
              </w:rPr>
            </w:pPr>
            <w:r>
              <w:rPr>
                <w:rFonts w:ascii="Times New Roman" w:hAnsi="Times New Roman" w:cs="Times New Roman"/>
              </w:rPr>
              <w:t>企业</w:t>
            </w:r>
          </w:p>
          <w:p w14:paraId="012CB06B">
            <w:pPr>
              <w:topLinePunct/>
              <w:spacing w:line="360" w:lineRule="auto"/>
              <w:jc w:val="center"/>
              <w:rPr>
                <w:rFonts w:ascii="Times New Roman" w:hAnsi="Times New Roman" w:cs="Times New Roman"/>
              </w:rPr>
            </w:pPr>
            <w:r>
              <w:rPr>
                <w:rFonts w:ascii="Times New Roman" w:hAnsi="Times New Roman" w:cs="Times New Roman"/>
              </w:rPr>
              <w:t>基本情况</w:t>
            </w:r>
          </w:p>
        </w:tc>
        <w:tc>
          <w:tcPr>
            <w:tcW w:w="1417" w:type="dxa"/>
            <w:tcBorders>
              <w:top w:val="single" w:color="000000" w:sz="4" w:space="0"/>
              <w:left w:val="single" w:color="000000" w:sz="4" w:space="0"/>
              <w:bottom w:val="single" w:color="000000" w:sz="4" w:space="0"/>
              <w:right w:val="single" w:color="000000" w:sz="4" w:space="0"/>
            </w:tcBorders>
            <w:vAlign w:val="center"/>
          </w:tcPr>
          <w:p w14:paraId="2A78A395">
            <w:pPr>
              <w:topLinePunct/>
              <w:spacing w:line="360" w:lineRule="auto"/>
              <w:ind w:left="-120" w:leftChars="-50" w:right="-120" w:rightChars="-50"/>
              <w:jc w:val="center"/>
              <w:rPr>
                <w:rFonts w:ascii="Times New Roman" w:hAnsi="Times New Roman" w:cs="Times New Roman"/>
              </w:rPr>
            </w:pPr>
            <w:r>
              <w:rPr>
                <w:rFonts w:ascii="Times New Roman" w:hAnsi="Times New Roman" w:cs="Times New Roman"/>
              </w:rPr>
              <w:t>名称</w:t>
            </w:r>
          </w:p>
        </w:tc>
        <w:tc>
          <w:tcPr>
            <w:tcW w:w="2752" w:type="dxa"/>
            <w:gridSpan w:val="3"/>
            <w:tcBorders>
              <w:top w:val="single" w:color="000000" w:sz="4" w:space="0"/>
              <w:left w:val="single" w:color="000000" w:sz="4" w:space="0"/>
              <w:bottom w:val="single" w:color="000000" w:sz="4" w:space="0"/>
              <w:right w:val="single" w:color="000000" w:sz="4" w:space="0"/>
            </w:tcBorders>
            <w:vAlign w:val="center"/>
          </w:tcPr>
          <w:p w14:paraId="71285322">
            <w:pPr>
              <w:topLinePunct/>
              <w:spacing w:line="360" w:lineRule="auto"/>
              <w:jc w:val="center"/>
              <w:rPr>
                <w:rFonts w:ascii="Times New Roman" w:hAnsi="Times New Roman" w:cs="Times New Roman"/>
              </w:rPr>
            </w:pPr>
          </w:p>
        </w:tc>
        <w:tc>
          <w:tcPr>
            <w:tcW w:w="1147" w:type="dxa"/>
            <w:tcBorders>
              <w:top w:val="single" w:color="000000" w:sz="4" w:space="0"/>
              <w:left w:val="single" w:color="000000" w:sz="4" w:space="0"/>
              <w:bottom w:val="single" w:color="000000" w:sz="4" w:space="0"/>
              <w:right w:val="single" w:color="000000" w:sz="4" w:space="0"/>
            </w:tcBorders>
            <w:vAlign w:val="center"/>
          </w:tcPr>
          <w:p w14:paraId="330A3A0C">
            <w:pPr>
              <w:topLinePunct/>
              <w:spacing w:line="360" w:lineRule="auto"/>
              <w:ind w:left="-120" w:leftChars="-50" w:right="-120" w:rightChars="-50"/>
              <w:jc w:val="center"/>
              <w:rPr>
                <w:rFonts w:ascii="Times New Roman" w:hAnsi="Times New Roman" w:cs="Times New Roman"/>
              </w:rPr>
            </w:pPr>
            <w:r>
              <w:rPr>
                <w:rFonts w:ascii="Times New Roman" w:hAnsi="Times New Roman" w:cs="Times New Roman"/>
              </w:rPr>
              <w:t>地址</w:t>
            </w:r>
          </w:p>
        </w:tc>
        <w:tc>
          <w:tcPr>
            <w:tcW w:w="2340" w:type="dxa"/>
            <w:gridSpan w:val="3"/>
            <w:tcBorders>
              <w:top w:val="single" w:color="000000" w:sz="4" w:space="0"/>
              <w:left w:val="single" w:color="000000" w:sz="4" w:space="0"/>
              <w:bottom w:val="single" w:color="000000" w:sz="4" w:space="0"/>
              <w:right w:val="single" w:color="000000" w:sz="4" w:space="0"/>
            </w:tcBorders>
            <w:vAlign w:val="center"/>
          </w:tcPr>
          <w:p w14:paraId="2A61B5CD">
            <w:pPr>
              <w:topLinePunct/>
              <w:spacing w:line="360" w:lineRule="auto"/>
              <w:jc w:val="center"/>
              <w:rPr>
                <w:rFonts w:ascii="Times New Roman" w:hAnsi="Times New Roman" w:cs="Times New Roman"/>
              </w:rPr>
            </w:pPr>
          </w:p>
        </w:tc>
      </w:tr>
      <w:tr w14:paraId="56F258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560" w:type="dxa"/>
            <w:vMerge w:val="continue"/>
            <w:tcBorders>
              <w:top w:val="single" w:color="000000" w:sz="4" w:space="0"/>
              <w:left w:val="single" w:color="000000" w:sz="4" w:space="0"/>
              <w:bottom w:val="single" w:color="000000" w:sz="4" w:space="0"/>
              <w:right w:val="single" w:color="000000" w:sz="4" w:space="0"/>
            </w:tcBorders>
            <w:vAlign w:val="center"/>
          </w:tcPr>
          <w:p w14:paraId="65CB976A">
            <w:pPr>
              <w:spacing w:line="360" w:lineRule="auto"/>
              <w:rPr>
                <w:rFonts w:ascii="Times New Roman" w:hAnsi="Times New Roman" w:cs="Times New Roman"/>
              </w:rPr>
            </w:pPr>
          </w:p>
        </w:tc>
        <w:tc>
          <w:tcPr>
            <w:tcW w:w="1417" w:type="dxa"/>
            <w:tcBorders>
              <w:top w:val="single" w:color="000000" w:sz="4" w:space="0"/>
              <w:left w:val="single" w:color="000000" w:sz="4" w:space="0"/>
              <w:bottom w:val="single" w:color="000000" w:sz="4" w:space="0"/>
              <w:right w:val="single" w:color="000000" w:sz="4" w:space="0"/>
            </w:tcBorders>
            <w:vAlign w:val="center"/>
          </w:tcPr>
          <w:p w14:paraId="4E7CA61C">
            <w:pPr>
              <w:topLinePunct/>
              <w:adjustRightInd w:val="0"/>
              <w:snapToGrid w:val="0"/>
              <w:spacing w:line="360" w:lineRule="auto"/>
              <w:jc w:val="center"/>
              <w:rPr>
                <w:rFonts w:ascii="Times New Roman" w:hAnsi="Times New Roman" w:cs="Times New Roman"/>
              </w:rPr>
            </w:pPr>
            <w:r>
              <w:rPr>
                <w:rFonts w:ascii="Times New Roman" w:hAnsi="Times New Roman" w:cs="Times New Roman"/>
              </w:rPr>
              <w:t>年生产能力</w:t>
            </w:r>
          </w:p>
        </w:tc>
        <w:tc>
          <w:tcPr>
            <w:tcW w:w="2752" w:type="dxa"/>
            <w:gridSpan w:val="3"/>
            <w:tcBorders>
              <w:top w:val="single" w:color="000000" w:sz="4" w:space="0"/>
              <w:left w:val="single" w:color="000000" w:sz="4" w:space="0"/>
              <w:bottom w:val="single" w:color="000000" w:sz="4" w:space="0"/>
              <w:right w:val="single" w:color="000000" w:sz="4" w:space="0"/>
            </w:tcBorders>
            <w:vAlign w:val="center"/>
          </w:tcPr>
          <w:p w14:paraId="1EFD54FE">
            <w:pPr>
              <w:topLinePunct/>
              <w:spacing w:line="360" w:lineRule="auto"/>
              <w:jc w:val="center"/>
              <w:rPr>
                <w:rFonts w:ascii="Times New Roman" w:hAnsi="Times New Roman" w:cs="Times New Roman"/>
              </w:rPr>
            </w:pPr>
          </w:p>
        </w:tc>
        <w:tc>
          <w:tcPr>
            <w:tcW w:w="1147" w:type="dxa"/>
            <w:tcBorders>
              <w:top w:val="single" w:color="000000" w:sz="4" w:space="0"/>
              <w:left w:val="single" w:color="000000" w:sz="4" w:space="0"/>
              <w:bottom w:val="single" w:color="000000" w:sz="4" w:space="0"/>
              <w:right w:val="single" w:color="000000" w:sz="4" w:space="0"/>
            </w:tcBorders>
            <w:vAlign w:val="center"/>
          </w:tcPr>
          <w:p w14:paraId="77B25F6C">
            <w:pPr>
              <w:topLinePunct/>
              <w:spacing w:line="360" w:lineRule="auto"/>
              <w:ind w:left="-120" w:leftChars="-50" w:right="-120" w:rightChars="-50"/>
              <w:jc w:val="center"/>
              <w:rPr>
                <w:rFonts w:ascii="Times New Roman" w:hAnsi="Times New Roman" w:cs="Times New Roman"/>
              </w:rPr>
            </w:pPr>
            <w:r>
              <w:rPr>
                <w:rFonts w:ascii="Times New Roman" w:hAnsi="Times New Roman" w:cs="Times New Roman"/>
              </w:rPr>
              <w:t>职工人数</w:t>
            </w:r>
          </w:p>
        </w:tc>
        <w:tc>
          <w:tcPr>
            <w:tcW w:w="2340" w:type="dxa"/>
            <w:gridSpan w:val="3"/>
            <w:tcBorders>
              <w:top w:val="single" w:color="000000" w:sz="4" w:space="0"/>
              <w:left w:val="single" w:color="000000" w:sz="4" w:space="0"/>
              <w:bottom w:val="single" w:color="000000" w:sz="4" w:space="0"/>
              <w:right w:val="single" w:color="000000" w:sz="4" w:space="0"/>
            </w:tcBorders>
            <w:vAlign w:val="center"/>
          </w:tcPr>
          <w:p w14:paraId="1103B98F">
            <w:pPr>
              <w:topLinePunct/>
              <w:spacing w:line="360" w:lineRule="auto"/>
              <w:jc w:val="center"/>
              <w:rPr>
                <w:rFonts w:ascii="Times New Roman" w:hAnsi="Times New Roman" w:cs="Times New Roman"/>
              </w:rPr>
            </w:pPr>
          </w:p>
        </w:tc>
      </w:tr>
      <w:tr w14:paraId="798675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560" w:type="dxa"/>
            <w:vMerge w:val="continue"/>
            <w:tcBorders>
              <w:top w:val="single" w:color="000000" w:sz="4" w:space="0"/>
              <w:left w:val="single" w:color="000000" w:sz="4" w:space="0"/>
              <w:bottom w:val="single" w:color="000000" w:sz="4" w:space="0"/>
              <w:right w:val="single" w:color="000000" w:sz="4" w:space="0"/>
            </w:tcBorders>
            <w:vAlign w:val="center"/>
          </w:tcPr>
          <w:p w14:paraId="2A2F622B">
            <w:pPr>
              <w:spacing w:line="360" w:lineRule="auto"/>
              <w:rPr>
                <w:rFonts w:ascii="Times New Roman" w:hAnsi="Times New Roman" w:cs="Times New Roman"/>
              </w:rPr>
            </w:pPr>
          </w:p>
        </w:tc>
        <w:tc>
          <w:tcPr>
            <w:tcW w:w="1417" w:type="dxa"/>
            <w:vMerge w:val="restart"/>
            <w:tcBorders>
              <w:top w:val="single" w:color="000000" w:sz="4" w:space="0"/>
              <w:left w:val="single" w:color="000000" w:sz="4" w:space="0"/>
              <w:bottom w:val="single" w:color="000000" w:sz="4" w:space="0"/>
              <w:right w:val="single" w:color="000000" w:sz="4" w:space="0"/>
            </w:tcBorders>
            <w:vAlign w:val="center"/>
          </w:tcPr>
          <w:p w14:paraId="76D5CED4">
            <w:pPr>
              <w:topLinePunct/>
              <w:spacing w:line="360" w:lineRule="auto"/>
              <w:jc w:val="center"/>
              <w:rPr>
                <w:rFonts w:ascii="Times New Roman" w:hAnsi="Times New Roman" w:cs="Times New Roman"/>
              </w:rPr>
            </w:pPr>
            <w:r>
              <w:rPr>
                <w:rFonts w:ascii="Times New Roman" w:hAnsi="Times New Roman" w:cs="Times New Roman"/>
              </w:rPr>
              <w:t>近3年</w:t>
            </w:r>
          </w:p>
          <w:p w14:paraId="036C9899">
            <w:pPr>
              <w:topLinePunct/>
              <w:spacing w:line="360" w:lineRule="auto"/>
              <w:jc w:val="center"/>
              <w:rPr>
                <w:rFonts w:ascii="Times New Roman" w:hAnsi="Times New Roman" w:cs="Times New Roman"/>
              </w:rPr>
            </w:pPr>
            <w:r>
              <w:rPr>
                <w:rFonts w:ascii="Times New Roman" w:hAnsi="Times New Roman" w:cs="Times New Roman"/>
              </w:rPr>
              <w:t>营业额</w:t>
            </w:r>
          </w:p>
        </w:tc>
        <w:tc>
          <w:tcPr>
            <w:tcW w:w="1097" w:type="dxa"/>
            <w:tcBorders>
              <w:top w:val="single" w:color="000000" w:sz="4" w:space="0"/>
              <w:left w:val="single" w:color="000000" w:sz="4" w:space="0"/>
              <w:bottom w:val="single" w:color="000000" w:sz="4" w:space="0"/>
              <w:right w:val="single" w:color="000000" w:sz="4" w:space="0"/>
            </w:tcBorders>
            <w:vAlign w:val="center"/>
          </w:tcPr>
          <w:p w14:paraId="7826E98A">
            <w:pPr>
              <w:topLinePunct/>
              <w:spacing w:line="360" w:lineRule="auto"/>
              <w:jc w:val="center"/>
              <w:rPr>
                <w:rFonts w:ascii="Times New Roman" w:hAnsi="Times New Roman" w:cs="Times New Roman"/>
              </w:rPr>
            </w:pPr>
            <w:r>
              <w:rPr>
                <w:rFonts w:ascii="Times New Roman" w:hAnsi="Times New Roman" w:cs="Times New Roman"/>
              </w:rPr>
              <w:t>年份</w:t>
            </w:r>
          </w:p>
        </w:tc>
        <w:tc>
          <w:tcPr>
            <w:tcW w:w="1655" w:type="dxa"/>
            <w:gridSpan w:val="2"/>
            <w:tcBorders>
              <w:top w:val="single" w:color="000000" w:sz="4" w:space="0"/>
              <w:left w:val="single" w:color="000000" w:sz="4" w:space="0"/>
              <w:bottom w:val="single" w:color="000000" w:sz="4" w:space="0"/>
              <w:right w:val="single" w:color="000000" w:sz="4" w:space="0"/>
            </w:tcBorders>
            <w:vAlign w:val="center"/>
          </w:tcPr>
          <w:p w14:paraId="07DA49AC">
            <w:pPr>
              <w:topLinePunct/>
              <w:spacing w:line="360" w:lineRule="auto"/>
              <w:jc w:val="center"/>
              <w:rPr>
                <w:rFonts w:ascii="Times New Roman" w:hAnsi="Times New Roman" w:cs="Times New Roman"/>
              </w:rPr>
            </w:pPr>
          </w:p>
        </w:tc>
        <w:tc>
          <w:tcPr>
            <w:tcW w:w="1345" w:type="dxa"/>
            <w:gridSpan w:val="2"/>
            <w:tcBorders>
              <w:top w:val="single" w:color="000000" w:sz="4" w:space="0"/>
              <w:left w:val="single" w:color="000000" w:sz="4" w:space="0"/>
              <w:bottom w:val="single" w:color="000000" w:sz="4" w:space="0"/>
              <w:right w:val="single" w:color="000000" w:sz="4" w:space="0"/>
            </w:tcBorders>
            <w:vAlign w:val="center"/>
          </w:tcPr>
          <w:p w14:paraId="5C490CBF">
            <w:pPr>
              <w:topLinePunct/>
              <w:spacing w:line="360" w:lineRule="auto"/>
              <w:jc w:val="center"/>
              <w:rPr>
                <w:rFonts w:ascii="Times New Roman" w:hAnsi="Times New Roman" w:cs="Times New Roman"/>
              </w:rPr>
            </w:pPr>
            <w:r>
              <w:rPr>
                <w:rFonts w:ascii="Times New Roman" w:hAnsi="Times New Roman" w:cs="Times New Roman"/>
              </w:rPr>
              <w:t>金额</w:t>
            </w:r>
          </w:p>
        </w:tc>
        <w:tc>
          <w:tcPr>
            <w:tcW w:w="2142" w:type="dxa"/>
            <w:gridSpan w:val="2"/>
            <w:tcBorders>
              <w:top w:val="single" w:color="000000" w:sz="4" w:space="0"/>
              <w:left w:val="single" w:color="000000" w:sz="4" w:space="0"/>
              <w:bottom w:val="single" w:color="000000" w:sz="4" w:space="0"/>
              <w:right w:val="single" w:color="000000" w:sz="4" w:space="0"/>
            </w:tcBorders>
            <w:vAlign w:val="center"/>
          </w:tcPr>
          <w:p w14:paraId="797ADD3D">
            <w:pPr>
              <w:topLinePunct/>
              <w:spacing w:line="360" w:lineRule="auto"/>
              <w:jc w:val="center"/>
              <w:rPr>
                <w:rFonts w:ascii="Times New Roman" w:hAnsi="Times New Roman" w:cs="Times New Roman"/>
              </w:rPr>
            </w:pPr>
          </w:p>
        </w:tc>
      </w:tr>
      <w:tr w14:paraId="11ACDD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560" w:type="dxa"/>
            <w:vMerge w:val="continue"/>
            <w:tcBorders>
              <w:top w:val="single" w:color="000000" w:sz="4" w:space="0"/>
              <w:left w:val="single" w:color="000000" w:sz="4" w:space="0"/>
              <w:bottom w:val="single" w:color="000000" w:sz="4" w:space="0"/>
              <w:right w:val="single" w:color="000000" w:sz="4" w:space="0"/>
            </w:tcBorders>
            <w:vAlign w:val="center"/>
          </w:tcPr>
          <w:p w14:paraId="36660BCA">
            <w:pPr>
              <w:spacing w:line="360" w:lineRule="auto"/>
              <w:rPr>
                <w:rFonts w:ascii="Times New Roman" w:hAnsi="Times New Roman" w:cs="Times New Roman"/>
              </w:rPr>
            </w:pPr>
          </w:p>
        </w:tc>
        <w:tc>
          <w:tcPr>
            <w:tcW w:w="1417" w:type="dxa"/>
            <w:vMerge w:val="continue"/>
            <w:tcBorders>
              <w:top w:val="single" w:color="000000" w:sz="4" w:space="0"/>
              <w:left w:val="single" w:color="000000" w:sz="4" w:space="0"/>
              <w:bottom w:val="single" w:color="000000" w:sz="4" w:space="0"/>
              <w:right w:val="single" w:color="000000" w:sz="4" w:space="0"/>
            </w:tcBorders>
            <w:vAlign w:val="center"/>
          </w:tcPr>
          <w:p w14:paraId="03DF1B61">
            <w:pPr>
              <w:spacing w:line="360" w:lineRule="auto"/>
              <w:rPr>
                <w:rFonts w:ascii="Times New Roman" w:hAnsi="Times New Roman" w:cs="Times New Roman"/>
              </w:rPr>
            </w:pPr>
          </w:p>
        </w:tc>
        <w:tc>
          <w:tcPr>
            <w:tcW w:w="1097" w:type="dxa"/>
            <w:tcBorders>
              <w:top w:val="single" w:color="000000" w:sz="4" w:space="0"/>
              <w:left w:val="single" w:color="000000" w:sz="4" w:space="0"/>
              <w:bottom w:val="single" w:color="000000" w:sz="4" w:space="0"/>
              <w:right w:val="single" w:color="000000" w:sz="4" w:space="0"/>
            </w:tcBorders>
            <w:vAlign w:val="center"/>
          </w:tcPr>
          <w:p w14:paraId="212A074C">
            <w:pPr>
              <w:topLinePunct/>
              <w:spacing w:line="360" w:lineRule="auto"/>
              <w:jc w:val="center"/>
              <w:rPr>
                <w:rFonts w:ascii="Times New Roman" w:hAnsi="Times New Roman" w:cs="Times New Roman"/>
              </w:rPr>
            </w:pPr>
            <w:r>
              <w:rPr>
                <w:rFonts w:ascii="Times New Roman" w:hAnsi="Times New Roman" w:cs="Times New Roman"/>
              </w:rPr>
              <w:t>年份</w:t>
            </w:r>
          </w:p>
        </w:tc>
        <w:tc>
          <w:tcPr>
            <w:tcW w:w="1655" w:type="dxa"/>
            <w:gridSpan w:val="2"/>
            <w:tcBorders>
              <w:top w:val="single" w:color="000000" w:sz="4" w:space="0"/>
              <w:left w:val="single" w:color="000000" w:sz="4" w:space="0"/>
              <w:bottom w:val="single" w:color="000000" w:sz="4" w:space="0"/>
              <w:right w:val="single" w:color="000000" w:sz="4" w:space="0"/>
            </w:tcBorders>
            <w:vAlign w:val="center"/>
          </w:tcPr>
          <w:p w14:paraId="6466A4C8">
            <w:pPr>
              <w:topLinePunct/>
              <w:spacing w:line="360" w:lineRule="auto"/>
              <w:jc w:val="center"/>
              <w:rPr>
                <w:rFonts w:ascii="Times New Roman" w:hAnsi="Times New Roman" w:cs="Times New Roman"/>
              </w:rPr>
            </w:pPr>
          </w:p>
        </w:tc>
        <w:tc>
          <w:tcPr>
            <w:tcW w:w="1345" w:type="dxa"/>
            <w:gridSpan w:val="2"/>
            <w:tcBorders>
              <w:top w:val="single" w:color="000000" w:sz="4" w:space="0"/>
              <w:left w:val="single" w:color="000000" w:sz="4" w:space="0"/>
              <w:bottom w:val="single" w:color="000000" w:sz="4" w:space="0"/>
              <w:right w:val="single" w:color="000000" w:sz="4" w:space="0"/>
            </w:tcBorders>
            <w:vAlign w:val="center"/>
          </w:tcPr>
          <w:p w14:paraId="50CC7302">
            <w:pPr>
              <w:topLinePunct/>
              <w:spacing w:line="360" w:lineRule="auto"/>
              <w:jc w:val="center"/>
              <w:rPr>
                <w:rFonts w:ascii="Times New Roman" w:hAnsi="Times New Roman" w:cs="Times New Roman"/>
              </w:rPr>
            </w:pPr>
            <w:r>
              <w:rPr>
                <w:rFonts w:ascii="Times New Roman" w:hAnsi="Times New Roman" w:cs="Times New Roman"/>
              </w:rPr>
              <w:t>金额</w:t>
            </w:r>
          </w:p>
        </w:tc>
        <w:tc>
          <w:tcPr>
            <w:tcW w:w="2142" w:type="dxa"/>
            <w:gridSpan w:val="2"/>
            <w:tcBorders>
              <w:top w:val="single" w:color="000000" w:sz="4" w:space="0"/>
              <w:left w:val="single" w:color="000000" w:sz="4" w:space="0"/>
              <w:bottom w:val="single" w:color="000000" w:sz="4" w:space="0"/>
              <w:right w:val="single" w:color="000000" w:sz="4" w:space="0"/>
            </w:tcBorders>
            <w:vAlign w:val="center"/>
          </w:tcPr>
          <w:p w14:paraId="4E64F236">
            <w:pPr>
              <w:topLinePunct/>
              <w:spacing w:line="360" w:lineRule="auto"/>
              <w:jc w:val="center"/>
              <w:rPr>
                <w:rFonts w:ascii="Times New Roman" w:hAnsi="Times New Roman" w:cs="Times New Roman"/>
              </w:rPr>
            </w:pPr>
          </w:p>
        </w:tc>
      </w:tr>
      <w:tr w14:paraId="70DF2C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560" w:type="dxa"/>
            <w:vMerge w:val="continue"/>
            <w:tcBorders>
              <w:top w:val="single" w:color="000000" w:sz="4" w:space="0"/>
              <w:left w:val="single" w:color="000000" w:sz="4" w:space="0"/>
              <w:bottom w:val="single" w:color="000000" w:sz="4" w:space="0"/>
              <w:right w:val="single" w:color="000000" w:sz="4" w:space="0"/>
            </w:tcBorders>
            <w:vAlign w:val="center"/>
          </w:tcPr>
          <w:p w14:paraId="2FB3C5F2">
            <w:pPr>
              <w:spacing w:line="360" w:lineRule="auto"/>
              <w:rPr>
                <w:rFonts w:ascii="Times New Roman" w:hAnsi="Times New Roman" w:cs="Times New Roman"/>
              </w:rPr>
            </w:pPr>
          </w:p>
        </w:tc>
        <w:tc>
          <w:tcPr>
            <w:tcW w:w="1417" w:type="dxa"/>
            <w:vMerge w:val="continue"/>
            <w:tcBorders>
              <w:top w:val="single" w:color="000000" w:sz="4" w:space="0"/>
              <w:left w:val="single" w:color="000000" w:sz="4" w:space="0"/>
              <w:bottom w:val="single" w:color="000000" w:sz="4" w:space="0"/>
              <w:right w:val="single" w:color="000000" w:sz="4" w:space="0"/>
            </w:tcBorders>
            <w:vAlign w:val="center"/>
          </w:tcPr>
          <w:p w14:paraId="1EBD9402">
            <w:pPr>
              <w:spacing w:line="360" w:lineRule="auto"/>
              <w:rPr>
                <w:rFonts w:ascii="Times New Roman" w:hAnsi="Times New Roman" w:cs="Times New Roman"/>
              </w:rPr>
            </w:pPr>
          </w:p>
        </w:tc>
        <w:tc>
          <w:tcPr>
            <w:tcW w:w="1097" w:type="dxa"/>
            <w:tcBorders>
              <w:top w:val="single" w:color="000000" w:sz="4" w:space="0"/>
              <w:left w:val="single" w:color="000000" w:sz="4" w:space="0"/>
              <w:bottom w:val="single" w:color="000000" w:sz="4" w:space="0"/>
              <w:right w:val="single" w:color="000000" w:sz="4" w:space="0"/>
            </w:tcBorders>
            <w:vAlign w:val="center"/>
          </w:tcPr>
          <w:p w14:paraId="69E3C1F4">
            <w:pPr>
              <w:topLinePunct/>
              <w:spacing w:line="360" w:lineRule="auto"/>
              <w:jc w:val="center"/>
              <w:rPr>
                <w:rFonts w:ascii="Times New Roman" w:hAnsi="Times New Roman" w:cs="Times New Roman"/>
              </w:rPr>
            </w:pPr>
            <w:r>
              <w:rPr>
                <w:rFonts w:ascii="Times New Roman" w:hAnsi="Times New Roman" w:cs="Times New Roman"/>
              </w:rPr>
              <w:t>年份</w:t>
            </w:r>
          </w:p>
        </w:tc>
        <w:tc>
          <w:tcPr>
            <w:tcW w:w="1655" w:type="dxa"/>
            <w:gridSpan w:val="2"/>
            <w:tcBorders>
              <w:top w:val="single" w:color="000000" w:sz="4" w:space="0"/>
              <w:left w:val="single" w:color="000000" w:sz="4" w:space="0"/>
              <w:bottom w:val="single" w:color="000000" w:sz="4" w:space="0"/>
              <w:right w:val="single" w:color="000000" w:sz="4" w:space="0"/>
            </w:tcBorders>
            <w:vAlign w:val="center"/>
          </w:tcPr>
          <w:p w14:paraId="61949471">
            <w:pPr>
              <w:topLinePunct/>
              <w:spacing w:line="360" w:lineRule="auto"/>
              <w:jc w:val="center"/>
              <w:rPr>
                <w:rFonts w:ascii="Times New Roman" w:hAnsi="Times New Roman" w:cs="Times New Roman"/>
              </w:rPr>
            </w:pPr>
          </w:p>
        </w:tc>
        <w:tc>
          <w:tcPr>
            <w:tcW w:w="1345" w:type="dxa"/>
            <w:gridSpan w:val="2"/>
            <w:tcBorders>
              <w:top w:val="single" w:color="000000" w:sz="4" w:space="0"/>
              <w:left w:val="single" w:color="000000" w:sz="4" w:space="0"/>
              <w:bottom w:val="single" w:color="000000" w:sz="4" w:space="0"/>
              <w:right w:val="single" w:color="000000" w:sz="4" w:space="0"/>
            </w:tcBorders>
            <w:vAlign w:val="center"/>
          </w:tcPr>
          <w:p w14:paraId="1C0F94FC">
            <w:pPr>
              <w:topLinePunct/>
              <w:spacing w:line="360" w:lineRule="auto"/>
              <w:jc w:val="center"/>
              <w:rPr>
                <w:rFonts w:ascii="Times New Roman" w:hAnsi="Times New Roman" w:cs="Times New Roman"/>
              </w:rPr>
            </w:pPr>
            <w:r>
              <w:rPr>
                <w:rFonts w:ascii="Times New Roman" w:hAnsi="Times New Roman" w:cs="Times New Roman"/>
              </w:rPr>
              <w:t>金额</w:t>
            </w:r>
          </w:p>
        </w:tc>
        <w:tc>
          <w:tcPr>
            <w:tcW w:w="2142" w:type="dxa"/>
            <w:gridSpan w:val="2"/>
            <w:tcBorders>
              <w:top w:val="single" w:color="000000" w:sz="4" w:space="0"/>
              <w:left w:val="single" w:color="000000" w:sz="4" w:space="0"/>
              <w:bottom w:val="single" w:color="000000" w:sz="4" w:space="0"/>
              <w:right w:val="single" w:color="000000" w:sz="4" w:space="0"/>
            </w:tcBorders>
            <w:vAlign w:val="center"/>
          </w:tcPr>
          <w:p w14:paraId="1CD34A89">
            <w:pPr>
              <w:topLinePunct/>
              <w:spacing w:line="360" w:lineRule="auto"/>
              <w:jc w:val="center"/>
              <w:rPr>
                <w:rFonts w:ascii="Times New Roman" w:hAnsi="Times New Roman" w:cs="Times New Roman"/>
              </w:rPr>
            </w:pPr>
          </w:p>
        </w:tc>
      </w:tr>
      <w:tr w14:paraId="3F0301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560" w:type="dxa"/>
            <w:vMerge w:val="continue"/>
            <w:tcBorders>
              <w:top w:val="single" w:color="000000" w:sz="4" w:space="0"/>
              <w:left w:val="single" w:color="000000" w:sz="4" w:space="0"/>
              <w:bottom w:val="single" w:color="000000" w:sz="4" w:space="0"/>
              <w:right w:val="single" w:color="000000" w:sz="4" w:space="0"/>
            </w:tcBorders>
            <w:vAlign w:val="center"/>
          </w:tcPr>
          <w:p w14:paraId="3CAAF1F4">
            <w:pPr>
              <w:spacing w:line="360" w:lineRule="auto"/>
              <w:rPr>
                <w:rFonts w:ascii="Times New Roman" w:hAnsi="Times New Roman" w:cs="Times New Roman"/>
              </w:rPr>
            </w:pPr>
          </w:p>
        </w:tc>
        <w:tc>
          <w:tcPr>
            <w:tcW w:w="1417" w:type="dxa"/>
            <w:vMerge w:val="restart"/>
            <w:tcBorders>
              <w:top w:val="single" w:color="000000" w:sz="4" w:space="0"/>
              <w:left w:val="single" w:color="000000" w:sz="4" w:space="0"/>
              <w:bottom w:val="single" w:color="000000" w:sz="4" w:space="0"/>
              <w:right w:val="single" w:color="000000" w:sz="4" w:space="0"/>
            </w:tcBorders>
            <w:vAlign w:val="center"/>
          </w:tcPr>
          <w:p w14:paraId="0510ECB2">
            <w:pPr>
              <w:topLinePunct/>
              <w:adjustRightInd w:val="0"/>
              <w:snapToGrid w:val="0"/>
              <w:spacing w:line="360" w:lineRule="auto"/>
              <w:ind w:left="-120" w:leftChars="-50" w:right="-120" w:rightChars="-50"/>
              <w:jc w:val="center"/>
              <w:rPr>
                <w:rFonts w:ascii="Times New Roman" w:hAnsi="Times New Roman" w:cs="Times New Roman"/>
              </w:rPr>
            </w:pPr>
            <w:r>
              <w:rPr>
                <w:rFonts w:ascii="Times New Roman" w:hAnsi="Times New Roman" w:cs="Times New Roman"/>
              </w:rPr>
              <w:t>近期资产</w:t>
            </w:r>
          </w:p>
          <w:p w14:paraId="75550DFA">
            <w:pPr>
              <w:topLinePunct/>
              <w:adjustRightInd w:val="0"/>
              <w:snapToGrid w:val="0"/>
              <w:spacing w:line="360" w:lineRule="auto"/>
              <w:jc w:val="center"/>
              <w:rPr>
                <w:rFonts w:ascii="Times New Roman" w:hAnsi="Times New Roman" w:cs="Times New Roman"/>
              </w:rPr>
            </w:pPr>
            <w:r>
              <w:rPr>
                <w:rFonts w:ascii="Times New Roman" w:hAnsi="Times New Roman" w:cs="Times New Roman"/>
              </w:rPr>
              <w:t>负债表</w:t>
            </w:r>
          </w:p>
          <w:p w14:paraId="5B061B31">
            <w:pPr>
              <w:topLinePunct/>
              <w:adjustRightInd w:val="0"/>
              <w:snapToGrid w:val="0"/>
              <w:spacing w:line="360" w:lineRule="auto"/>
              <w:ind w:right="-146" w:rightChars="-61"/>
              <w:jc w:val="center"/>
              <w:rPr>
                <w:rFonts w:ascii="Times New Roman" w:hAnsi="Times New Roman" w:cs="Times New Roman"/>
              </w:rPr>
            </w:pPr>
            <w:r>
              <w:rPr>
                <w:rFonts w:ascii="Times New Roman" w:hAnsi="Times New Roman" w:cs="Times New Roman"/>
              </w:rPr>
              <w:t>到年月日止</w:t>
            </w:r>
          </w:p>
        </w:tc>
        <w:tc>
          <w:tcPr>
            <w:tcW w:w="1097" w:type="dxa"/>
            <w:tcBorders>
              <w:top w:val="single" w:color="000000" w:sz="4" w:space="0"/>
              <w:left w:val="single" w:color="000000" w:sz="4" w:space="0"/>
              <w:bottom w:val="single" w:color="000000" w:sz="4" w:space="0"/>
              <w:right w:val="single" w:color="000000" w:sz="4" w:space="0"/>
            </w:tcBorders>
            <w:vAlign w:val="center"/>
          </w:tcPr>
          <w:p w14:paraId="144E0BE2">
            <w:pPr>
              <w:topLinePunct/>
              <w:spacing w:line="360" w:lineRule="auto"/>
              <w:ind w:left="-120" w:leftChars="-50" w:right="-120" w:rightChars="-50"/>
              <w:jc w:val="center"/>
              <w:rPr>
                <w:rFonts w:ascii="Times New Roman" w:hAnsi="Times New Roman" w:cs="Times New Roman"/>
              </w:rPr>
            </w:pPr>
            <w:r>
              <w:rPr>
                <w:rFonts w:ascii="Times New Roman" w:hAnsi="Times New Roman" w:cs="Times New Roman"/>
              </w:rPr>
              <w:t>固定资产</w:t>
            </w:r>
          </w:p>
        </w:tc>
        <w:tc>
          <w:tcPr>
            <w:tcW w:w="1655" w:type="dxa"/>
            <w:gridSpan w:val="2"/>
            <w:tcBorders>
              <w:top w:val="single" w:color="000000" w:sz="4" w:space="0"/>
              <w:left w:val="single" w:color="000000" w:sz="4" w:space="0"/>
              <w:bottom w:val="single" w:color="000000" w:sz="4" w:space="0"/>
              <w:right w:val="single" w:color="000000" w:sz="4" w:space="0"/>
            </w:tcBorders>
            <w:vAlign w:val="center"/>
          </w:tcPr>
          <w:p w14:paraId="112A91DB">
            <w:pPr>
              <w:topLinePunct/>
              <w:spacing w:line="360" w:lineRule="auto"/>
              <w:jc w:val="center"/>
              <w:rPr>
                <w:rFonts w:ascii="Times New Roman" w:hAnsi="Times New Roman" w:cs="Times New Roman"/>
              </w:rPr>
            </w:pPr>
          </w:p>
        </w:tc>
        <w:tc>
          <w:tcPr>
            <w:tcW w:w="1345" w:type="dxa"/>
            <w:gridSpan w:val="2"/>
            <w:tcBorders>
              <w:top w:val="single" w:color="000000" w:sz="4" w:space="0"/>
              <w:left w:val="single" w:color="000000" w:sz="4" w:space="0"/>
              <w:bottom w:val="single" w:color="000000" w:sz="4" w:space="0"/>
              <w:right w:val="single" w:color="000000" w:sz="4" w:space="0"/>
            </w:tcBorders>
            <w:vAlign w:val="center"/>
          </w:tcPr>
          <w:p w14:paraId="292A2D3E">
            <w:pPr>
              <w:topLinePunct/>
              <w:spacing w:line="360" w:lineRule="auto"/>
              <w:ind w:left="-120" w:leftChars="-50" w:right="-120" w:rightChars="-50"/>
              <w:jc w:val="center"/>
              <w:rPr>
                <w:rFonts w:ascii="Times New Roman" w:hAnsi="Times New Roman" w:cs="Times New Roman"/>
              </w:rPr>
            </w:pPr>
            <w:r>
              <w:rPr>
                <w:rFonts w:ascii="Times New Roman" w:hAnsi="Times New Roman" w:cs="Times New Roman"/>
              </w:rPr>
              <w:t>流动资产</w:t>
            </w:r>
          </w:p>
        </w:tc>
        <w:tc>
          <w:tcPr>
            <w:tcW w:w="2142" w:type="dxa"/>
            <w:gridSpan w:val="2"/>
            <w:tcBorders>
              <w:top w:val="single" w:color="000000" w:sz="4" w:space="0"/>
              <w:left w:val="single" w:color="000000" w:sz="4" w:space="0"/>
              <w:bottom w:val="single" w:color="000000" w:sz="4" w:space="0"/>
              <w:right w:val="single" w:color="000000" w:sz="4" w:space="0"/>
            </w:tcBorders>
            <w:vAlign w:val="center"/>
          </w:tcPr>
          <w:p w14:paraId="52165D38">
            <w:pPr>
              <w:topLinePunct/>
              <w:spacing w:line="360" w:lineRule="auto"/>
              <w:ind w:left="-120" w:leftChars="-50" w:right="-120" w:rightChars="-50"/>
              <w:jc w:val="center"/>
              <w:rPr>
                <w:rFonts w:ascii="Times New Roman" w:hAnsi="Times New Roman" w:cs="Times New Roman"/>
              </w:rPr>
            </w:pPr>
          </w:p>
        </w:tc>
      </w:tr>
      <w:tr w14:paraId="151C95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560" w:type="dxa"/>
            <w:vMerge w:val="continue"/>
            <w:tcBorders>
              <w:top w:val="single" w:color="000000" w:sz="4" w:space="0"/>
              <w:left w:val="single" w:color="000000" w:sz="4" w:space="0"/>
              <w:bottom w:val="single" w:color="000000" w:sz="4" w:space="0"/>
              <w:right w:val="single" w:color="000000" w:sz="4" w:space="0"/>
            </w:tcBorders>
            <w:vAlign w:val="center"/>
          </w:tcPr>
          <w:p w14:paraId="716E30CC">
            <w:pPr>
              <w:spacing w:line="360" w:lineRule="auto"/>
              <w:rPr>
                <w:rFonts w:ascii="Times New Roman" w:hAnsi="Times New Roman" w:cs="Times New Roman"/>
              </w:rPr>
            </w:pPr>
          </w:p>
        </w:tc>
        <w:tc>
          <w:tcPr>
            <w:tcW w:w="1417" w:type="dxa"/>
            <w:vMerge w:val="continue"/>
            <w:tcBorders>
              <w:top w:val="single" w:color="000000" w:sz="4" w:space="0"/>
              <w:left w:val="single" w:color="000000" w:sz="4" w:space="0"/>
              <w:bottom w:val="single" w:color="000000" w:sz="4" w:space="0"/>
              <w:right w:val="single" w:color="000000" w:sz="4" w:space="0"/>
            </w:tcBorders>
            <w:vAlign w:val="center"/>
          </w:tcPr>
          <w:p w14:paraId="2B52EF6E">
            <w:pPr>
              <w:spacing w:line="360" w:lineRule="auto"/>
              <w:rPr>
                <w:rFonts w:ascii="Times New Roman" w:hAnsi="Times New Roman" w:cs="Times New Roman"/>
              </w:rPr>
            </w:pPr>
          </w:p>
        </w:tc>
        <w:tc>
          <w:tcPr>
            <w:tcW w:w="1097" w:type="dxa"/>
            <w:tcBorders>
              <w:top w:val="single" w:color="000000" w:sz="4" w:space="0"/>
              <w:left w:val="single" w:color="000000" w:sz="4" w:space="0"/>
              <w:bottom w:val="single" w:color="000000" w:sz="4" w:space="0"/>
              <w:right w:val="single" w:color="000000" w:sz="4" w:space="0"/>
            </w:tcBorders>
            <w:vAlign w:val="center"/>
          </w:tcPr>
          <w:p w14:paraId="27B82967">
            <w:pPr>
              <w:topLinePunct/>
              <w:spacing w:line="360" w:lineRule="auto"/>
              <w:ind w:left="-120" w:leftChars="-50" w:right="-120" w:rightChars="-50"/>
              <w:jc w:val="center"/>
              <w:rPr>
                <w:rFonts w:ascii="Times New Roman" w:hAnsi="Times New Roman" w:cs="Times New Roman"/>
              </w:rPr>
            </w:pPr>
            <w:r>
              <w:rPr>
                <w:rFonts w:ascii="Times New Roman" w:hAnsi="Times New Roman" w:cs="Times New Roman"/>
              </w:rPr>
              <w:t>长期负债</w:t>
            </w:r>
          </w:p>
        </w:tc>
        <w:tc>
          <w:tcPr>
            <w:tcW w:w="732" w:type="dxa"/>
            <w:tcBorders>
              <w:top w:val="single" w:color="000000" w:sz="4" w:space="0"/>
              <w:left w:val="single" w:color="000000" w:sz="4" w:space="0"/>
              <w:bottom w:val="single" w:color="000000" w:sz="4" w:space="0"/>
              <w:right w:val="single" w:color="000000" w:sz="4" w:space="0"/>
            </w:tcBorders>
            <w:vAlign w:val="center"/>
          </w:tcPr>
          <w:p w14:paraId="5F19111C">
            <w:pPr>
              <w:topLinePunct/>
              <w:spacing w:line="360" w:lineRule="auto"/>
              <w:jc w:val="center"/>
              <w:rPr>
                <w:rFonts w:ascii="Times New Roman" w:hAnsi="Times New Roman" w:cs="Times New Roman"/>
              </w:rPr>
            </w:pPr>
          </w:p>
        </w:tc>
        <w:tc>
          <w:tcPr>
            <w:tcW w:w="923" w:type="dxa"/>
            <w:tcBorders>
              <w:top w:val="single" w:color="000000" w:sz="4" w:space="0"/>
              <w:left w:val="single" w:color="000000" w:sz="4" w:space="0"/>
              <w:bottom w:val="single" w:color="000000" w:sz="4" w:space="0"/>
              <w:right w:val="single" w:color="000000" w:sz="4" w:space="0"/>
            </w:tcBorders>
            <w:vAlign w:val="center"/>
          </w:tcPr>
          <w:p w14:paraId="5FB23DF4">
            <w:pPr>
              <w:topLinePunct/>
              <w:spacing w:line="360" w:lineRule="auto"/>
              <w:ind w:left="-120" w:leftChars="-50" w:right="-120" w:rightChars="-50"/>
              <w:jc w:val="center"/>
              <w:rPr>
                <w:rFonts w:ascii="Times New Roman" w:hAnsi="Times New Roman" w:cs="Times New Roman"/>
              </w:rPr>
            </w:pPr>
          </w:p>
        </w:tc>
        <w:tc>
          <w:tcPr>
            <w:tcW w:w="1345" w:type="dxa"/>
            <w:gridSpan w:val="2"/>
            <w:tcBorders>
              <w:top w:val="single" w:color="000000" w:sz="4" w:space="0"/>
              <w:left w:val="single" w:color="000000" w:sz="4" w:space="0"/>
              <w:bottom w:val="single" w:color="000000" w:sz="4" w:space="0"/>
              <w:right w:val="single" w:color="000000" w:sz="4" w:space="0"/>
            </w:tcBorders>
            <w:vAlign w:val="center"/>
          </w:tcPr>
          <w:p w14:paraId="53FFB13A">
            <w:pPr>
              <w:topLinePunct/>
              <w:spacing w:line="360" w:lineRule="auto"/>
              <w:ind w:left="-190" w:leftChars="-79" w:right="-122" w:rightChars="-51"/>
              <w:jc w:val="center"/>
              <w:rPr>
                <w:rFonts w:ascii="Times New Roman" w:hAnsi="Times New Roman" w:cs="Times New Roman"/>
              </w:rPr>
            </w:pPr>
            <w:r>
              <w:rPr>
                <w:rFonts w:ascii="Times New Roman" w:hAnsi="Times New Roman" w:cs="Times New Roman"/>
              </w:rPr>
              <w:t>流动负债</w:t>
            </w:r>
          </w:p>
        </w:tc>
        <w:tc>
          <w:tcPr>
            <w:tcW w:w="652" w:type="dxa"/>
            <w:tcBorders>
              <w:top w:val="single" w:color="000000" w:sz="4" w:space="0"/>
              <w:left w:val="single" w:color="000000" w:sz="4" w:space="0"/>
              <w:bottom w:val="single" w:color="000000" w:sz="4" w:space="0"/>
              <w:right w:val="single" w:color="000000" w:sz="4" w:space="0"/>
            </w:tcBorders>
            <w:vAlign w:val="center"/>
          </w:tcPr>
          <w:p w14:paraId="133ED404">
            <w:pPr>
              <w:topLinePunct/>
              <w:spacing w:line="360" w:lineRule="auto"/>
              <w:ind w:left="-120" w:leftChars="-50" w:right="-120" w:rightChars="-50"/>
              <w:jc w:val="center"/>
              <w:rPr>
                <w:rFonts w:ascii="Times New Roman" w:hAnsi="Times New Roman" w:cs="Times New Roman"/>
              </w:rPr>
            </w:pPr>
          </w:p>
        </w:tc>
        <w:tc>
          <w:tcPr>
            <w:tcW w:w="1490" w:type="dxa"/>
            <w:tcBorders>
              <w:top w:val="single" w:color="000000" w:sz="4" w:space="0"/>
              <w:left w:val="single" w:color="000000" w:sz="4" w:space="0"/>
              <w:bottom w:val="single" w:color="000000" w:sz="4" w:space="0"/>
              <w:right w:val="single" w:color="000000" w:sz="4" w:space="0"/>
            </w:tcBorders>
            <w:vAlign w:val="center"/>
          </w:tcPr>
          <w:p w14:paraId="6C585E0A">
            <w:pPr>
              <w:topLinePunct/>
              <w:spacing w:line="360" w:lineRule="auto"/>
              <w:jc w:val="center"/>
              <w:rPr>
                <w:rFonts w:ascii="Times New Roman" w:hAnsi="Times New Roman" w:cs="Times New Roman"/>
              </w:rPr>
            </w:pPr>
          </w:p>
        </w:tc>
      </w:tr>
      <w:tr w14:paraId="77F7C6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560" w:type="dxa"/>
            <w:vMerge w:val="continue"/>
            <w:tcBorders>
              <w:top w:val="single" w:color="000000" w:sz="4" w:space="0"/>
              <w:left w:val="single" w:color="000000" w:sz="4" w:space="0"/>
              <w:bottom w:val="single" w:color="000000" w:sz="4" w:space="0"/>
              <w:right w:val="single" w:color="000000" w:sz="4" w:space="0"/>
            </w:tcBorders>
            <w:vAlign w:val="center"/>
          </w:tcPr>
          <w:p w14:paraId="04A030B0">
            <w:pPr>
              <w:spacing w:line="360" w:lineRule="auto"/>
              <w:rPr>
                <w:rFonts w:ascii="Times New Roman" w:hAnsi="Times New Roman" w:cs="Times New Roman"/>
              </w:rPr>
            </w:pPr>
          </w:p>
        </w:tc>
        <w:tc>
          <w:tcPr>
            <w:tcW w:w="7656" w:type="dxa"/>
            <w:gridSpan w:val="8"/>
            <w:tcBorders>
              <w:top w:val="single" w:color="000000" w:sz="4" w:space="0"/>
              <w:left w:val="single" w:color="000000" w:sz="4" w:space="0"/>
              <w:bottom w:val="single" w:color="000000" w:sz="4" w:space="0"/>
              <w:right w:val="single" w:color="000000" w:sz="4" w:space="0"/>
            </w:tcBorders>
            <w:vAlign w:val="center"/>
          </w:tcPr>
          <w:p w14:paraId="1078739B">
            <w:pPr>
              <w:topLinePunct/>
              <w:spacing w:line="360" w:lineRule="auto"/>
              <w:rPr>
                <w:rFonts w:ascii="Times New Roman" w:hAnsi="Times New Roman" w:cs="Times New Roman"/>
              </w:rPr>
            </w:pPr>
            <w:r>
              <w:rPr>
                <w:rFonts w:ascii="Times New Roman" w:hAnsi="Times New Roman" w:cs="Times New Roman"/>
              </w:rPr>
              <w:t>经营范围：</w:t>
            </w:r>
          </w:p>
        </w:tc>
      </w:tr>
    </w:tbl>
    <w:p w14:paraId="7785B62B">
      <w:pPr>
        <w:widowControl/>
        <w:topLinePunct/>
        <w:spacing w:line="360" w:lineRule="auto"/>
        <w:ind w:firstLine="480" w:firstLineChars="200"/>
        <w:rPr>
          <w:rFonts w:ascii="Times New Roman" w:hAnsi="Times New Roman" w:cs="Times New Roman"/>
        </w:rPr>
      </w:pPr>
      <w:r>
        <w:rPr>
          <w:rFonts w:ascii="Times New Roman" w:hAnsi="Times New Roman" w:cs="Times New Roman"/>
        </w:rPr>
        <w:t>注：本表可增加并扩展。</w:t>
      </w:r>
    </w:p>
    <w:p w14:paraId="5FAA8209">
      <w:pPr>
        <w:widowControl/>
        <w:topLinePunct/>
        <w:spacing w:line="360" w:lineRule="auto"/>
        <w:ind w:firstLine="480" w:firstLineChars="200"/>
        <w:rPr>
          <w:rFonts w:ascii="Times New Roman" w:hAnsi="Times New Roman" w:cs="Times New Roman"/>
        </w:rPr>
      </w:pPr>
      <w:r>
        <w:rPr>
          <w:rFonts w:ascii="Times New Roman" w:hAnsi="Times New Roman" w:cs="Times New Roman"/>
        </w:rPr>
        <w:t>附：包括但不限于：营业执照、资质证书、体系认证、资信等级、人员资格证书、业绩合同、获奖证书等的复印件，加盖公章。</w:t>
      </w:r>
    </w:p>
    <w:p w14:paraId="2B4B7B32">
      <w:pPr>
        <w:spacing w:line="360" w:lineRule="auto"/>
        <w:rPr>
          <w:rFonts w:ascii="Times New Roman" w:hAnsi="Times New Roman" w:cs="Times New Roman"/>
          <w:bCs/>
          <w:szCs w:val="32"/>
        </w:rPr>
      </w:pPr>
      <w:r>
        <w:rPr>
          <w:rFonts w:ascii="Times New Roman" w:hAnsi="Times New Roman" w:cs="Times New Roman"/>
          <w:bCs/>
          <w:szCs w:val="32"/>
        </w:rPr>
        <w:t>5.2近3年财务状况表</w:t>
      </w:r>
    </w:p>
    <w:p w14:paraId="09C20489">
      <w:pPr>
        <w:spacing w:line="360" w:lineRule="auto"/>
        <w:ind w:firstLine="480" w:firstLineChars="200"/>
        <w:rPr>
          <w:rFonts w:ascii="Times New Roman" w:hAnsi="Times New Roman" w:cs="Times New Roman"/>
          <w:bCs/>
          <w:szCs w:val="32"/>
        </w:rPr>
      </w:pPr>
      <w:r>
        <w:rPr>
          <w:rFonts w:ascii="Times New Roman" w:hAnsi="Times New Roman" w:cs="Times New Roman"/>
          <w:bCs/>
          <w:szCs w:val="32"/>
        </w:rPr>
        <w:t>投标人应根据投标人须知第3.5.2项的要求在本表后附相关证明材料。</w:t>
      </w:r>
    </w:p>
    <w:p w14:paraId="7334A74D">
      <w:pPr>
        <w:spacing w:line="360" w:lineRule="auto"/>
        <w:rPr>
          <w:rFonts w:ascii="Times New Roman" w:hAnsi="Times New Roman" w:cs="Times New Roman"/>
          <w:bCs/>
          <w:szCs w:val="32"/>
        </w:rPr>
      </w:pPr>
      <w:r>
        <w:rPr>
          <w:rFonts w:ascii="Times New Roman" w:hAnsi="Times New Roman" w:cs="Times New Roman"/>
          <w:bCs/>
          <w:szCs w:val="32"/>
        </w:rPr>
        <w:t>5.3符合资格条件的业绩汇总表</w:t>
      </w:r>
    </w:p>
    <w:tbl>
      <w:tblPr>
        <w:tblStyle w:val="23"/>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831"/>
        <w:gridCol w:w="2036"/>
        <w:gridCol w:w="3053"/>
        <w:gridCol w:w="1276"/>
        <w:gridCol w:w="1701"/>
      </w:tblGrid>
      <w:tr w14:paraId="4615EB8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15" w:hRule="atLeast"/>
        </w:trPr>
        <w:tc>
          <w:tcPr>
            <w:tcW w:w="831" w:type="dxa"/>
            <w:vAlign w:val="center"/>
          </w:tcPr>
          <w:p w14:paraId="46032344">
            <w:pPr>
              <w:spacing w:line="360" w:lineRule="auto"/>
              <w:jc w:val="center"/>
              <w:rPr>
                <w:rFonts w:ascii="Times New Roman" w:hAnsi="Times New Roman" w:cs="Times New Roman"/>
              </w:rPr>
            </w:pPr>
            <w:r>
              <w:rPr>
                <w:rFonts w:ascii="Times New Roman" w:hAnsi="Times New Roman" w:cs="Times New Roman"/>
              </w:rPr>
              <w:t>序号</w:t>
            </w:r>
          </w:p>
        </w:tc>
        <w:tc>
          <w:tcPr>
            <w:tcW w:w="2036" w:type="dxa"/>
            <w:vAlign w:val="center"/>
          </w:tcPr>
          <w:p w14:paraId="016CCFEF">
            <w:pPr>
              <w:spacing w:line="360" w:lineRule="auto"/>
              <w:jc w:val="center"/>
              <w:rPr>
                <w:rFonts w:ascii="Times New Roman" w:hAnsi="Times New Roman" w:cs="Times New Roman"/>
              </w:rPr>
            </w:pPr>
            <w:bookmarkStart w:id="296" w:name="_Toc351401531"/>
            <w:bookmarkStart w:id="297" w:name="_Toc351401530"/>
            <w:r>
              <w:rPr>
                <w:rFonts w:ascii="Times New Roman" w:hAnsi="Times New Roman" w:cs="Times New Roman"/>
              </w:rPr>
              <w:t>项目业主</w:t>
            </w:r>
            <w:bookmarkEnd w:id="296"/>
            <w:r>
              <w:rPr>
                <w:rFonts w:ascii="Times New Roman" w:hAnsi="Times New Roman" w:cs="Times New Roman"/>
              </w:rPr>
              <w:t>名称</w:t>
            </w:r>
            <w:bookmarkEnd w:id="297"/>
          </w:p>
        </w:tc>
        <w:tc>
          <w:tcPr>
            <w:tcW w:w="3053" w:type="dxa"/>
            <w:vAlign w:val="center"/>
          </w:tcPr>
          <w:p w14:paraId="4671AA56">
            <w:pPr>
              <w:spacing w:line="360" w:lineRule="auto"/>
              <w:jc w:val="center"/>
              <w:rPr>
                <w:rFonts w:ascii="Times New Roman" w:hAnsi="Times New Roman" w:cs="Times New Roman"/>
              </w:rPr>
            </w:pPr>
            <w:r>
              <w:rPr>
                <w:rFonts w:ascii="Times New Roman" w:hAnsi="Times New Roman" w:cs="Times New Roman"/>
              </w:rPr>
              <w:t>规格型号</w:t>
            </w:r>
          </w:p>
        </w:tc>
        <w:tc>
          <w:tcPr>
            <w:tcW w:w="1276" w:type="dxa"/>
            <w:vAlign w:val="center"/>
          </w:tcPr>
          <w:p w14:paraId="11A08D06">
            <w:pPr>
              <w:spacing w:line="360" w:lineRule="auto"/>
              <w:jc w:val="center"/>
              <w:rPr>
                <w:rFonts w:ascii="Times New Roman" w:hAnsi="Times New Roman" w:cs="Times New Roman"/>
              </w:rPr>
            </w:pPr>
            <w:r>
              <w:rPr>
                <w:rFonts w:ascii="Times New Roman" w:hAnsi="Times New Roman" w:cs="Times New Roman"/>
              </w:rPr>
              <w:t>数量</w:t>
            </w:r>
          </w:p>
          <w:p w14:paraId="574ECDB6">
            <w:pPr>
              <w:spacing w:line="360" w:lineRule="auto"/>
              <w:jc w:val="center"/>
              <w:rPr>
                <w:rFonts w:ascii="Times New Roman" w:hAnsi="Times New Roman" w:cs="Times New Roman"/>
              </w:rPr>
            </w:pPr>
            <w:r>
              <w:rPr>
                <w:rFonts w:ascii="Times New Roman" w:hAnsi="Times New Roman" w:cs="Times New Roman"/>
              </w:rPr>
              <w:t>（台）</w:t>
            </w:r>
          </w:p>
        </w:tc>
        <w:tc>
          <w:tcPr>
            <w:tcW w:w="1701" w:type="dxa"/>
            <w:vAlign w:val="center"/>
          </w:tcPr>
          <w:p w14:paraId="0536913E">
            <w:pPr>
              <w:spacing w:line="360" w:lineRule="auto"/>
              <w:jc w:val="center"/>
              <w:rPr>
                <w:rFonts w:ascii="Times New Roman" w:hAnsi="Times New Roman" w:cs="Times New Roman"/>
              </w:rPr>
            </w:pPr>
            <w:r>
              <w:rPr>
                <w:rFonts w:ascii="Times New Roman" w:hAnsi="Times New Roman" w:cs="Times New Roman"/>
              </w:rPr>
              <w:t>签订日期</w:t>
            </w:r>
          </w:p>
          <w:p w14:paraId="196EAE00">
            <w:pPr>
              <w:spacing w:line="360" w:lineRule="auto"/>
              <w:jc w:val="center"/>
              <w:rPr>
                <w:rFonts w:ascii="Times New Roman" w:hAnsi="Times New Roman" w:cs="Times New Roman"/>
              </w:rPr>
            </w:pPr>
            <w:r>
              <w:rPr>
                <w:rFonts w:ascii="Times New Roman" w:hAnsi="Times New Roman" w:cs="Times New Roman"/>
              </w:rPr>
              <w:t>（年月）</w:t>
            </w:r>
          </w:p>
        </w:tc>
      </w:tr>
      <w:tr w14:paraId="513C395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21" w:hRule="atLeast"/>
        </w:trPr>
        <w:tc>
          <w:tcPr>
            <w:tcW w:w="831" w:type="dxa"/>
            <w:vAlign w:val="center"/>
          </w:tcPr>
          <w:p w14:paraId="51F85B80">
            <w:pPr>
              <w:spacing w:line="360" w:lineRule="auto"/>
              <w:jc w:val="center"/>
              <w:rPr>
                <w:rFonts w:ascii="Times New Roman" w:hAnsi="Times New Roman" w:cs="Times New Roman"/>
              </w:rPr>
            </w:pPr>
            <w:r>
              <w:rPr>
                <w:rFonts w:ascii="Times New Roman" w:hAnsi="Times New Roman" w:cs="Times New Roman"/>
              </w:rPr>
              <w:t>1</w:t>
            </w:r>
          </w:p>
        </w:tc>
        <w:tc>
          <w:tcPr>
            <w:tcW w:w="2036" w:type="dxa"/>
            <w:vAlign w:val="center"/>
          </w:tcPr>
          <w:p w14:paraId="3FDB1AB6">
            <w:pPr>
              <w:pStyle w:val="129"/>
              <w:spacing w:beforeLines="0" w:line="360" w:lineRule="auto"/>
              <w:rPr>
                <w:rFonts w:ascii="Times New Roman" w:hAnsi="Times New Roman"/>
                <w:b w:val="0"/>
                <w:sz w:val="24"/>
                <w:szCs w:val="24"/>
              </w:rPr>
            </w:pPr>
          </w:p>
        </w:tc>
        <w:tc>
          <w:tcPr>
            <w:tcW w:w="3053" w:type="dxa"/>
            <w:vAlign w:val="center"/>
          </w:tcPr>
          <w:p w14:paraId="539C9075">
            <w:pPr>
              <w:pStyle w:val="129"/>
              <w:spacing w:beforeLines="0" w:line="360" w:lineRule="auto"/>
              <w:rPr>
                <w:rFonts w:ascii="Times New Roman" w:hAnsi="Times New Roman"/>
                <w:b w:val="0"/>
                <w:sz w:val="24"/>
                <w:szCs w:val="24"/>
              </w:rPr>
            </w:pPr>
          </w:p>
        </w:tc>
        <w:tc>
          <w:tcPr>
            <w:tcW w:w="1276" w:type="dxa"/>
            <w:vAlign w:val="center"/>
          </w:tcPr>
          <w:p w14:paraId="385EB843">
            <w:pPr>
              <w:pStyle w:val="129"/>
              <w:spacing w:beforeLines="0" w:line="360" w:lineRule="auto"/>
              <w:rPr>
                <w:rFonts w:ascii="Times New Roman" w:hAnsi="Times New Roman"/>
                <w:b w:val="0"/>
                <w:sz w:val="24"/>
                <w:szCs w:val="24"/>
              </w:rPr>
            </w:pPr>
          </w:p>
        </w:tc>
        <w:tc>
          <w:tcPr>
            <w:tcW w:w="1701" w:type="dxa"/>
            <w:vAlign w:val="center"/>
          </w:tcPr>
          <w:p w14:paraId="24CFC16D">
            <w:pPr>
              <w:pStyle w:val="129"/>
              <w:spacing w:beforeLines="0" w:line="360" w:lineRule="auto"/>
              <w:rPr>
                <w:rFonts w:ascii="Times New Roman" w:hAnsi="Times New Roman"/>
                <w:b w:val="0"/>
                <w:sz w:val="24"/>
                <w:szCs w:val="24"/>
              </w:rPr>
            </w:pPr>
          </w:p>
        </w:tc>
      </w:tr>
      <w:tr w14:paraId="78CB6FF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14" w:hRule="atLeast"/>
        </w:trPr>
        <w:tc>
          <w:tcPr>
            <w:tcW w:w="831" w:type="dxa"/>
            <w:vAlign w:val="center"/>
          </w:tcPr>
          <w:p w14:paraId="0E703757">
            <w:pPr>
              <w:spacing w:line="360" w:lineRule="auto"/>
              <w:jc w:val="center"/>
              <w:rPr>
                <w:rFonts w:ascii="Times New Roman" w:hAnsi="Times New Roman" w:cs="Times New Roman"/>
              </w:rPr>
            </w:pPr>
            <w:r>
              <w:rPr>
                <w:rFonts w:ascii="Times New Roman" w:hAnsi="Times New Roman" w:cs="Times New Roman"/>
              </w:rPr>
              <w:t>2</w:t>
            </w:r>
          </w:p>
        </w:tc>
        <w:tc>
          <w:tcPr>
            <w:tcW w:w="2036" w:type="dxa"/>
            <w:vAlign w:val="center"/>
          </w:tcPr>
          <w:p w14:paraId="0207C6B2">
            <w:pPr>
              <w:pStyle w:val="129"/>
              <w:spacing w:beforeLines="0" w:line="360" w:lineRule="auto"/>
              <w:rPr>
                <w:rFonts w:ascii="Times New Roman" w:hAnsi="Times New Roman"/>
                <w:b w:val="0"/>
                <w:sz w:val="24"/>
                <w:szCs w:val="24"/>
              </w:rPr>
            </w:pPr>
          </w:p>
        </w:tc>
        <w:tc>
          <w:tcPr>
            <w:tcW w:w="3053" w:type="dxa"/>
            <w:vAlign w:val="center"/>
          </w:tcPr>
          <w:p w14:paraId="7F5E5614">
            <w:pPr>
              <w:pStyle w:val="129"/>
              <w:spacing w:beforeLines="0" w:line="360" w:lineRule="auto"/>
              <w:rPr>
                <w:rFonts w:ascii="Times New Roman" w:hAnsi="Times New Roman"/>
                <w:b w:val="0"/>
                <w:sz w:val="24"/>
                <w:szCs w:val="24"/>
              </w:rPr>
            </w:pPr>
          </w:p>
        </w:tc>
        <w:tc>
          <w:tcPr>
            <w:tcW w:w="1276" w:type="dxa"/>
            <w:vAlign w:val="center"/>
          </w:tcPr>
          <w:p w14:paraId="61193F0B">
            <w:pPr>
              <w:pStyle w:val="129"/>
              <w:spacing w:beforeLines="0" w:line="360" w:lineRule="auto"/>
              <w:rPr>
                <w:rFonts w:ascii="Times New Roman" w:hAnsi="Times New Roman"/>
                <w:b w:val="0"/>
                <w:sz w:val="24"/>
                <w:szCs w:val="24"/>
              </w:rPr>
            </w:pPr>
          </w:p>
        </w:tc>
        <w:tc>
          <w:tcPr>
            <w:tcW w:w="1701" w:type="dxa"/>
            <w:vAlign w:val="center"/>
          </w:tcPr>
          <w:p w14:paraId="20946AA1">
            <w:pPr>
              <w:pStyle w:val="129"/>
              <w:spacing w:beforeLines="0" w:line="360" w:lineRule="auto"/>
              <w:rPr>
                <w:rFonts w:ascii="Times New Roman" w:hAnsi="Times New Roman"/>
                <w:b w:val="0"/>
                <w:sz w:val="24"/>
                <w:szCs w:val="24"/>
              </w:rPr>
            </w:pPr>
          </w:p>
        </w:tc>
      </w:tr>
      <w:tr w14:paraId="069E4A3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06" w:hRule="atLeast"/>
        </w:trPr>
        <w:tc>
          <w:tcPr>
            <w:tcW w:w="831" w:type="dxa"/>
            <w:vAlign w:val="center"/>
          </w:tcPr>
          <w:p w14:paraId="2F932987">
            <w:pPr>
              <w:spacing w:line="360" w:lineRule="auto"/>
              <w:jc w:val="center"/>
              <w:rPr>
                <w:rFonts w:ascii="Times New Roman" w:hAnsi="Times New Roman" w:cs="Times New Roman"/>
              </w:rPr>
            </w:pPr>
            <w:r>
              <w:rPr>
                <w:rFonts w:ascii="Times New Roman" w:hAnsi="Times New Roman" w:cs="Times New Roman"/>
              </w:rPr>
              <w:t>3</w:t>
            </w:r>
          </w:p>
        </w:tc>
        <w:tc>
          <w:tcPr>
            <w:tcW w:w="2036" w:type="dxa"/>
            <w:vAlign w:val="center"/>
          </w:tcPr>
          <w:p w14:paraId="3BACEEF1">
            <w:pPr>
              <w:pStyle w:val="129"/>
              <w:spacing w:beforeLines="0" w:line="360" w:lineRule="auto"/>
              <w:rPr>
                <w:rFonts w:ascii="Times New Roman" w:hAnsi="Times New Roman"/>
                <w:b w:val="0"/>
                <w:sz w:val="24"/>
                <w:szCs w:val="24"/>
              </w:rPr>
            </w:pPr>
          </w:p>
        </w:tc>
        <w:tc>
          <w:tcPr>
            <w:tcW w:w="3053" w:type="dxa"/>
            <w:vAlign w:val="center"/>
          </w:tcPr>
          <w:p w14:paraId="745777A7">
            <w:pPr>
              <w:pStyle w:val="129"/>
              <w:spacing w:beforeLines="0" w:line="360" w:lineRule="auto"/>
              <w:rPr>
                <w:rFonts w:ascii="Times New Roman" w:hAnsi="Times New Roman"/>
                <w:b w:val="0"/>
                <w:sz w:val="24"/>
                <w:szCs w:val="24"/>
              </w:rPr>
            </w:pPr>
          </w:p>
        </w:tc>
        <w:tc>
          <w:tcPr>
            <w:tcW w:w="1276" w:type="dxa"/>
            <w:vAlign w:val="center"/>
          </w:tcPr>
          <w:p w14:paraId="5A963548">
            <w:pPr>
              <w:pStyle w:val="129"/>
              <w:spacing w:beforeLines="0" w:line="360" w:lineRule="auto"/>
              <w:rPr>
                <w:rFonts w:ascii="Times New Roman" w:hAnsi="Times New Roman"/>
                <w:b w:val="0"/>
                <w:sz w:val="24"/>
                <w:szCs w:val="24"/>
              </w:rPr>
            </w:pPr>
          </w:p>
        </w:tc>
        <w:tc>
          <w:tcPr>
            <w:tcW w:w="1701" w:type="dxa"/>
            <w:vAlign w:val="center"/>
          </w:tcPr>
          <w:p w14:paraId="4F86EF7C">
            <w:pPr>
              <w:pStyle w:val="129"/>
              <w:spacing w:beforeLines="0" w:line="360" w:lineRule="auto"/>
              <w:rPr>
                <w:rFonts w:ascii="Times New Roman" w:hAnsi="Times New Roman"/>
                <w:b w:val="0"/>
                <w:sz w:val="24"/>
                <w:szCs w:val="24"/>
              </w:rPr>
            </w:pPr>
          </w:p>
        </w:tc>
      </w:tr>
      <w:tr w14:paraId="4BD661B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25" w:hRule="atLeast"/>
        </w:trPr>
        <w:tc>
          <w:tcPr>
            <w:tcW w:w="831" w:type="dxa"/>
            <w:vAlign w:val="center"/>
          </w:tcPr>
          <w:p w14:paraId="019184C9">
            <w:pPr>
              <w:spacing w:line="360" w:lineRule="auto"/>
              <w:jc w:val="center"/>
              <w:rPr>
                <w:rFonts w:ascii="Times New Roman" w:hAnsi="Times New Roman" w:cs="Times New Roman"/>
              </w:rPr>
            </w:pPr>
            <w:r>
              <w:rPr>
                <w:rFonts w:ascii="Times New Roman" w:hAnsi="Times New Roman" w:cs="Times New Roman"/>
              </w:rPr>
              <w:t>……</w:t>
            </w:r>
          </w:p>
        </w:tc>
        <w:tc>
          <w:tcPr>
            <w:tcW w:w="2036" w:type="dxa"/>
            <w:vAlign w:val="center"/>
          </w:tcPr>
          <w:p w14:paraId="469FC8F8">
            <w:pPr>
              <w:pStyle w:val="129"/>
              <w:spacing w:beforeLines="0" w:line="360" w:lineRule="auto"/>
              <w:rPr>
                <w:rFonts w:ascii="Times New Roman" w:hAnsi="Times New Roman"/>
                <w:b w:val="0"/>
                <w:sz w:val="24"/>
                <w:szCs w:val="24"/>
              </w:rPr>
            </w:pPr>
          </w:p>
        </w:tc>
        <w:tc>
          <w:tcPr>
            <w:tcW w:w="3053" w:type="dxa"/>
            <w:vAlign w:val="center"/>
          </w:tcPr>
          <w:p w14:paraId="7AEDA38A">
            <w:pPr>
              <w:pStyle w:val="129"/>
              <w:spacing w:beforeLines="0" w:line="360" w:lineRule="auto"/>
              <w:rPr>
                <w:rFonts w:ascii="Times New Roman" w:hAnsi="Times New Roman"/>
                <w:b w:val="0"/>
                <w:sz w:val="24"/>
                <w:szCs w:val="24"/>
              </w:rPr>
            </w:pPr>
          </w:p>
        </w:tc>
        <w:tc>
          <w:tcPr>
            <w:tcW w:w="1276" w:type="dxa"/>
            <w:vAlign w:val="center"/>
          </w:tcPr>
          <w:p w14:paraId="09A7DB73">
            <w:pPr>
              <w:pStyle w:val="129"/>
              <w:spacing w:beforeLines="0" w:line="360" w:lineRule="auto"/>
              <w:rPr>
                <w:rFonts w:ascii="Times New Roman" w:hAnsi="Times New Roman"/>
                <w:b w:val="0"/>
                <w:sz w:val="24"/>
                <w:szCs w:val="24"/>
              </w:rPr>
            </w:pPr>
          </w:p>
        </w:tc>
        <w:tc>
          <w:tcPr>
            <w:tcW w:w="1701" w:type="dxa"/>
            <w:vAlign w:val="center"/>
          </w:tcPr>
          <w:p w14:paraId="079A7710">
            <w:pPr>
              <w:pStyle w:val="129"/>
              <w:spacing w:beforeLines="0" w:line="360" w:lineRule="auto"/>
              <w:rPr>
                <w:rFonts w:ascii="Times New Roman" w:hAnsi="Times New Roman"/>
                <w:b w:val="0"/>
                <w:sz w:val="24"/>
                <w:szCs w:val="24"/>
              </w:rPr>
            </w:pPr>
          </w:p>
        </w:tc>
      </w:tr>
      <w:tr w14:paraId="0A31D61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25" w:hRule="atLeast"/>
        </w:trPr>
        <w:tc>
          <w:tcPr>
            <w:tcW w:w="831" w:type="dxa"/>
            <w:vAlign w:val="center"/>
          </w:tcPr>
          <w:p w14:paraId="7A6EF567">
            <w:pPr>
              <w:spacing w:line="360" w:lineRule="auto"/>
              <w:jc w:val="center"/>
              <w:rPr>
                <w:rFonts w:ascii="Times New Roman" w:hAnsi="Times New Roman" w:cs="Times New Roman"/>
              </w:rPr>
            </w:pPr>
          </w:p>
        </w:tc>
        <w:tc>
          <w:tcPr>
            <w:tcW w:w="2036" w:type="dxa"/>
            <w:vAlign w:val="center"/>
          </w:tcPr>
          <w:p w14:paraId="0DC96768">
            <w:pPr>
              <w:pStyle w:val="129"/>
              <w:spacing w:beforeLines="0" w:line="360" w:lineRule="auto"/>
              <w:rPr>
                <w:rFonts w:ascii="Times New Roman" w:hAnsi="Times New Roman"/>
                <w:b w:val="0"/>
                <w:sz w:val="24"/>
                <w:szCs w:val="24"/>
              </w:rPr>
            </w:pPr>
          </w:p>
        </w:tc>
        <w:tc>
          <w:tcPr>
            <w:tcW w:w="3053" w:type="dxa"/>
            <w:vAlign w:val="center"/>
          </w:tcPr>
          <w:p w14:paraId="0290C558">
            <w:pPr>
              <w:pStyle w:val="129"/>
              <w:spacing w:beforeLines="0" w:line="360" w:lineRule="auto"/>
              <w:rPr>
                <w:rFonts w:ascii="Times New Roman" w:hAnsi="Times New Roman"/>
                <w:b w:val="0"/>
                <w:sz w:val="24"/>
                <w:szCs w:val="24"/>
              </w:rPr>
            </w:pPr>
          </w:p>
        </w:tc>
        <w:tc>
          <w:tcPr>
            <w:tcW w:w="1276" w:type="dxa"/>
            <w:vAlign w:val="center"/>
          </w:tcPr>
          <w:p w14:paraId="06EF7C2A">
            <w:pPr>
              <w:pStyle w:val="129"/>
              <w:spacing w:beforeLines="0" w:line="360" w:lineRule="auto"/>
              <w:rPr>
                <w:rFonts w:ascii="Times New Roman" w:hAnsi="Times New Roman"/>
                <w:b w:val="0"/>
                <w:sz w:val="24"/>
                <w:szCs w:val="24"/>
              </w:rPr>
            </w:pPr>
          </w:p>
        </w:tc>
        <w:tc>
          <w:tcPr>
            <w:tcW w:w="1701" w:type="dxa"/>
            <w:vAlign w:val="center"/>
          </w:tcPr>
          <w:p w14:paraId="2C7B1DC5">
            <w:pPr>
              <w:pStyle w:val="129"/>
              <w:spacing w:beforeLines="0" w:line="360" w:lineRule="auto"/>
              <w:rPr>
                <w:rFonts w:ascii="Times New Roman" w:hAnsi="Times New Roman"/>
                <w:b w:val="0"/>
                <w:sz w:val="24"/>
                <w:szCs w:val="24"/>
              </w:rPr>
            </w:pPr>
          </w:p>
        </w:tc>
      </w:tr>
    </w:tbl>
    <w:p w14:paraId="34EFF309">
      <w:pPr>
        <w:spacing w:line="360" w:lineRule="auto"/>
        <w:rPr>
          <w:rFonts w:ascii="Times New Roman" w:hAnsi="Times New Roman" w:cs="Times New Roman"/>
          <w:bCs/>
          <w:szCs w:val="32"/>
        </w:rPr>
      </w:pPr>
    </w:p>
    <w:p w14:paraId="744B6FF4">
      <w:pPr>
        <w:topLinePunct/>
        <w:spacing w:line="360" w:lineRule="auto"/>
        <w:ind w:firstLine="480" w:firstLineChars="200"/>
        <w:rPr>
          <w:rFonts w:ascii="Times New Roman" w:hAnsi="Times New Roman" w:cs="Times New Roman"/>
          <w:szCs w:val="32"/>
        </w:rPr>
      </w:pPr>
      <w:r>
        <w:rPr>
          <w:rFonts w:ascii="Times New Roman" w:hAnsi="Times New Roman" w:cs="Times New Roman"/>
          <w:szCs w:val="32"/>
        </w:rPr>
        <w:t>注：提供的业绩要附合同复印件作为证明。</w:t>
      </w:r>
    </w:p>
    <w:p w14:paraId="0D12D75F">
      <w:pPr>
        <w:spacing w:line="360" w:lineRule="auto"/>
        <w:rPr>
          <w:rFonts w:ascii="Times New Roman" w:hAnsi="Times New Roman" w:cs="Times New Roman"/>
          <w:szCs w:val="32"/>
        </w:rPr>
      </w:pPr>
    </w:p>
    <w:p w14:paraId="26DD0CCA">
      <w:pPr>
        <w:spacing w:line="360" w:lineRule="auto"/>
        <w:ind w:firstLine="4200" w:firstLineChars="1750"/>
        <w:rPr>
          <w:rFonts w:ascii="Times New Roman" w:hAnsi="Times New Roman" w:cs="Times New Roman"/>
          <w:szCs w:val="32"/>
        </w:rPr>
      </w:pPr>
      <w:r>
        <w:rPr>
          <w:rFonts w:ascii="Times New Roman" w:hAnsi="Times New Roman" w:cs="Times New Roman"/>
          <w:szCs w:val="32"/>
        </w:rPr>
        <w:t>投标人：（盖单位章）</w:t>
      </w:r>
    </w:p>
    <w:p w14:paraId="09405A7B">
      <w:pPr>
        <w:spacing w:line="360" w:lineRule="auto"/>
        <w:ind w:firstLine="4200" w:firstLineChars="1750"/>
        <w:rPr>
          <w:rFonts w:ascii="Times New Roman" w:hAnsi="Times New Roman" w:cs="Times New Roman"/>
          <w:szCs w:val="32"/>
        </w:rPr>
      </w:pPr>
      <w:r>
        <w:rPr>
          <w:rFonts w:ascii="Times New Roman" w:hAnsi="Times New Roman" w:cs="Times New Roman"/>
          <w:szCs w:val="32"/>
        </w:rPr>
        <w:t>法定代表人或其委托代理人：（签字）</w:t>
      </w:r>
    </w:p>
    <w:p w14:paraId="04DBE3E6">
      <w:pPr>
        <w:spacing w:line="360" w:lineRule="auto"/>
        <w:ind w:firstLine="4200" w:firstLineChars="1750"/>
        <w:rPr>
          <w:rFonts w:ascii="Times New Roman" w:hAnsi="Times New Roman" w:cs="Times New Roman"/>
          <w:szCs w:val="32"/>
        </w:rPr>
      </w:pPr>
      <w:r>
        <w:rPr>
          <w:rFonts w:ascii="Times New Roman" w:hAnsi="Times New Roman" w:cs="Times New Roman"/>
          <w:szCs w:val="32"/>
        </w:rPr>
        <w:t>年月日</w:t>
      </w:r>
    </w:p>
    <w:p w14:paraId="02C29F69">
      <w:pPr>
        <w:spacing w:line="360" w:lineRule="auto"/>
        <w:rPr>
          <w:rFonts w:ascii="Times New Roman" w:hAnsi="Times New Roman" w:cs="Times New Roman"/>
          <w:bCs/>
          <w:szCs w:val="32"/>
        </w:rPr>
      </w:pPr>
      <w:r>
        <w:rPr>
          <w:rFonts w:ascii="Times New Roman" w:hAnsi="Times New Roman" w:cs="Times New Roman"/>
          <w:bCs/>
          <w:szCs w:val="32"/>
        </w:rPr>
        <w:t>5.4近年发生的诉讼及仲裁情况</w:t>
      </w:r>
    </w:p>
    <w:p w14:paraId="7F6A431A">
      <w:pPr>
        <w:spacing w:line="360" w:lineRule="auto"/>
        <w:ind w:firstLine="480" w:firstLineChars="200"/>
        <w:rPr>
          <w:rFonts w:ascii="Times New Roman" w:hAnsi="Times New Roman" w:cs="Times New Roman"/>
          <w:bCs/>
          <w:szCs w:val="32"/>
        </w:rPr>
      </w:pPr>
      <w:r>
        <w:rPr>
          <w:rFonts w:ascii="Times New Roman" w:hAnsi="Times New Roman" w:cs="Times New Roman"/>
          <w:bCs/>
          <w:szCs w:val="32"/>
        </w:rPr>
        <w:t>注：投标人应根据投标人须知第3.5.4项的要求附相关证明材料</w:t>
      </w:r>
    </w:p>
    <w:p w14:paraId="2A9D32FC">
      <w:pPr>
        <w:widowControl/>
        <w:rPr>
          <w:rFonts w:ascii="Times New Roman" w:hAnsi="Times New Roman" w:cs="Times New Roman"/>
          <w:bCs/>
          <w:szCs w:val="32"/>
        </w:rPr>
      </w:pPr>
      <w:r>
        <w:rPr>
          <w:rFonts w:ascii="Times New Roman" w:hAnsi="Times New Roman" w:cs="Times New Roman"/>
          <w:bCs/>
          <w:szCs w:val="32"/>
        </w:rPr>
        <w:br w:type="page"/>
      </w:r>
    </w:p>
    <w:p w14:paraId="6BB9C5BC">
      <w:pPr>
        <w:spacing w:line="300" w:lineRule="auto"/>
        <w:jc w:val="center"/>
        <w:outlineLvl w:val="1"/>
        <w:rPr>
          <w:rFonts w:asciiTheme="minorEastAsia" w:hAnsiTheme="minorEastAsia" w:eastAsiaTheme="minorEastAsia"/>
          <w:b/>
          <w:bCs/>
          <w:sz w:val="32"/>
          <w:szCs w:val="32"/>
        </w:rPr>
      </w:pPr>
      <w:bookmarkStart w:id="298" w:name="_Toc506105878"/>
      <w:bookmarkStart w:id="299" w:name="_Toc508871758"/>
      <w:bookmarkStart w:id="300" w:name="_Toc352160853"/>
      <w:bookmarkStart w:id="301" w:name="_Toc391556618"/>
      <w:r>
        <w:rPr>
          <w:rFonts w:hint="eastAsia" w:asciiTheme="minorEastAsia" w:hAnsiTheme="minorEastAsia" w:eastAsiaTheme="minorEastAsia"/>
          <w:b/>
          <w:bCs/>
          <w:sz w:val="32"/>
          <w:szCs w:val="32"/>
        </w:rPr>
        <w:t>六、报价表</w:t>
      </w:r>
    </w:p>
    <w:bookmarkEnd w:id="298"/>
    <w:bookmarkEnd w:id="299"/>
    <w:bookmarkEnd w:id="300"/>
    <w:bookmarkEnd w:id="301"/>
    <w:p w14:paraId="50E3B57B">
      <w:pPr>
        <w:spacing w:line="360" w:lineRule="auto"/>
        <w:rPr>
          <w:rFonts w:ascii="Times New Roman" w:hAnsi="Times New Roman" w:cs="Times New Roman"/>
          <w:bCs/>
          <w:szCs w:val="32"/>
        </w:rPr>
      </w:pPr>
      <w:r>
        <w:rPr>
          <w:rFonts w:ascii="Times New Roman" w:hAnsi="Times New Roman" w:cs="Times New Roman"/>
          <w:bCs/>
          <w:szCs w:val="32"/>
        </w:rPr>
        <w:t>6.1报价说明：</w:t>
      </w:r>
    </w:p>
    <w:p w14:paraId="4AB61702">
      <w:pPr>
        <w:tabs>
          <w:tab w:val="left" w:pos="945"/>
        </w:tabs>
        <w:spacing w:line="360" w:lineRule="auto"/>
        <w:ind w:firstLine="480" w:firstLineChars="200"/>
        <w:rPr>
          <w:rFonts w:ascii="Times New Roman" w:hAnsi="Times New Roman" w:cs="Times New Roman"/>
          <w:szCs w:val="32"/>
        </w:rPr>
      </w:pPr>
      <w:r>
        <w:rPr>
          <w:rFonts w:ascii="Times New Roman" w:hAnsi="Times New Roman" w:cs="Times New Roman"/>
          <w:szCs w:val="32"/>
        </w:rPr>
        <w:t>（1）报价表应按本</w:t>
      </w:r>
      <w:r>
        <w:rPr>
          <w:rFonts w:hint="eastAsia" w:ascii="Times New Roman" w:hAnsi="Times New Roman" w:cs="Times New Roman"/>
          <w:szCs w:val="32"/>
          <w:lang w:eastAsia="zh-CN"/>
        </w:rPr>
        <w:t>谈判</w:t>
      </w:r>
      <w:r>
        <w:rPr>
          <w:rFonts w:ascii="Times New Roman" w:hAnsi="Times New Roman" w:cs="Times New Roman"/>
          <w:szCs w:val="32"/>
        </w:rPr>
        <w:t>文件规定的格式填写。</w:t>
      </w:r>
    </w:p>
    <w:p w14:paraId="469D9413">
      <w:pPr>
        <w:tabs>
          <w:tab w:val="left" w:pos="945"/>
        </w:tabs>
        <w:spacing w:line="360" w:lineRule="auto"/>
        <w:ind w:firstLine="480" w:firstLineChars="200"/>
        <w:rPr>
          <w:rFonts w:ascii="Times New Roman" w:hAnsi="Times New Roman" w:cs="Times New Roman"/>
          <w:szCs w:val="32"/>
        </w:rPr>
      </w:pPr>
      <w:r>
        <w:rPr>
          <w:rFonts w:ascii="Times New Roman" w:hAnsi="Times New Roman" w:cs="Times New Roman"/>
          <w:szCs w:val="32"/>
        </w:rPr>
        <w:t>（2）报价币种为人民币。</w:t>
      </w:r>
    </w:p>
    <w:p w14:paraId="26466968">
      <w:pPr>
        <w:tabs>
          <w:tab w:val="left" w:pos="945"/>
        </w:tabs>
        <w:spacing w:line="360" w:lineRule="auto"/>
        <w:ind w:firstLine="480" w:firstLineChars="200"/>
        <w:rPr>
          <w:rFonts w:ascii="Times New Roman" w:hAnsi="Times New Roman" w:cs="Times New Roman"/>
          <w:szCs w:val="32"/>
        </w:rPr>
      </w:pPr>
      <w:r>
        <w:rPr>
          <w:rFonts w:ascii="Times New Roman" w:hAnsi="Times New Roman" w:cs="Times New Roman"/>
          <w:szCs w:val="32"/>
        </w:rPr>
        <w:t>（3）如果按单价计算的结果与总价不一致，以单价为准修正总价。</w:t>
      </w:r>
    </w:p>
    <w:p w14:paraId="76467FB6">
      <w:pPr>
        <w:tabs>
          <w:tab w:val="left" w:pos="945"/>
        </w:tabs>
        <w:spacing w:line="360" w:lineRule="auto"/>
        <w:ind w:firstLine="480" w:firstLineChars="200"/>
        <w:rPr>
          <w:rFonts w:ascii="Times New Roman" w:hAnsi="Times New Roman" w:cs="Times New Roman"/>
          <w:szCs w:val="32"/>
        </w:rPr>
      </w:pPr>
      <w:r>
        <w:rPr>
          <w:rFonts w:ascii="Times New Roman" w:hAnsi="Times New Roman" w:cs="Times New Roman"/>
          <w:szCs w:val="32"/>
        </w:rPr>
        <w:t>（4）报价清单中有计算或汇总中的算术错误时，将按</w:t>
      </w:r>
      <w:r>
        <w:rPr>
          <w:rFonts w:hint="eastAsia" w:ascii="Times New Roman" w:hAnsi="Times New Roman" w:cs="Times New Roman"/>
          <w:szCs w:val="32"/>
          <w:lang w:eastAsia="zh-CN"/>
        </w:rPr>
        <w:t>谈判</w:t>
      </w:r>
      <w:r>
        <w:rPr>
          <w:rFonts w:ascii="Times New Roman" w:hAnsi="Times New Roman" w:cs="Times New Roman"/>
          <w:szCs w:val="32"/>
        </w:rPr>
        <w:t>须知中有关规定执行。</w:t>
      </w:r>
    </w:p>
    <w:p w14:paraId="099E6D85">
      <w:pPr>
        <w:tabs>
          <w:tab w:val="left" w:pos="945"/>
        </w:tabs>
        <w:spacing w:line="360" w:lineRule="auto"/>
        <w:ind w:firstLine="480" w:firstLineChars="200"/>
        <w:rPr>
          <w:rFonts w:ascii="Times New Roman" w:hAnsi="Times New Roman" w:cs="Times New Roman"/>
          <w:szCs w:val="32"/>
        </w:rPr>
      </w:pPr>
      <w:r>
        <w:rPr>
          <w:rFonts w:ascii="Times New Roman" w:hAnsi="Times New Roman" w:cs="Times New Roman"/>
          <w:szCs w:val="32"/>
        </w:rPr>
        <w:t>（5）报价中包含</w:t>
      </w:r>
      <w:r>
        <w:rPr>
          <w:rFonts w:hint="eastAsia" w:ascii="Times New Roman" w:hAnsi="Times New Roman" w:cs="Times New Roman"/>
          <w:szCs w:val="22"/>
        </w:rPr>
        <w:t>监理服务费、</w:t>
      </w:r>
      <w:r>
        <w:rPr>
          <w:rFonts w:ascii="Times New Roman" w:hAnsi="Times New Roman" w:cs="Times New Roman"/>
          <w:szCs w:val="22"/>
          <w:lang w:val="en-US"/>
        </w:rPr>
        <w:t>报告编制费</w:t>
      </w:r>
      <w:r>
        <w:rPr>
          <w:rFonts w:ascii="Times New Roman" w:hAnsi="Times New Roman" w:cs="Times New Roman"/>
          <w:szCs w:val="22"/>
        </w:rPr>
        <w:t>、</w:t>
      </w:r>
      <w:r>
        <w:rPr>
          <w:rFonts w:ascii="Times New Roman" w:hAnsi="Times New Roman" w:cs="Times New Roman"/>
          <w:szCs w:val="22"/>
          <w:lang w:val="en-US"/>
        </w:rPr>
        <w:t>专家</w:t>
      </w:r>
      <w:r>
        <w:rPr>
          <w:rFonts w:ascii="Times New Roman" w:hAnsi="Times New Roman" w:cs="Times New Roman"/>
          <w:szCs w:val="22"/>
        </w:rPr>
        <w:t>评审费、税金等</w:t>
      </w:r>
      <w:r>
        <w:rPr>
          <w:rFonts w:ascii="Times New Roman" w:hAnsi="Times New Roman" w:cs="Times New Roman"/>
          <w:szCs w:val="32"/>
        </w:rPr>
        <w:t>所有费用。</w:t>
      </w:r>
    </w:p>
    <w:p w14:paraId="1DDC394C">
      <w:pPr>
        <w:tabs>
          <w:tab w:val="left" w:pos="945"/>
        </w:tabs>
        <w:spacing w:line="360" w:lineRule="auto"/>
        <w:ind w:firstLine="480" w:firstLineChars="200"/>
        <w:rPr>
          <w:rFonts w:ascii="Times New Roman" w:hAnsi="Times New Roman" w:cs="Times New Roman"/>
          <w:szCs w:val="32"/>
        </w:rPr>
      </w:pPr>
      <w:r>
        <w:rPr>
          <w:rFonts w:ascii="Times New Roman" w:hAnsi="Times New Roman" w:cs="Times New Roman"/>
          <w:szCs w:val="32"/>
        </w:rPr>
        <w:t>（6）本项目为固定总价项目，合同价格包括完成项目</w:t>
      </w:r>
      <w:r>
        <w:rPr>
          <w:rFonts w:hint="eastAsia" w:ascii="Times New Roman" w:hAnsi="Times New Roman" w:cs="Times New Roman"/>
          <w:szCs w:val="32"/>
        </w:rPr>
        <w:t>监理服务</w:t>
      </w:r>
      <w:r>
        <w:rPr>
          <w:rFonts w:ascii="Times New Roman" w:hAnsi="Times New Roman" w:cs="Times New Roman"/>
          <w:szCs w:val="32"/>
        </w:rPr>
        <w:t>所需的各种费用，且在合同执行过程中不作任何调整。</w:t>
      </w:r>
    </w:p>
    <w:p w14:paraId="248ED202">
      <w:pPr>
        <w:tabs>
          <w:tab w:val="left" w:pos="945"/>
        </w:tabs>
        <w:spacing w:line="360" w:lineRule="auto"/>
        <w:ind w:left="1027" w:leftChars="228" w:hanging="480" w:hangingChars="200"/>
        <w:rPr>
          <w:rFonts w:ascii="Times New Roman" w:hAnsi="Times New Roman" w:cs="Times New Roman"/>
          <w:szCs w:val="32"/>
        </w:rPr>
      </w:pPr>
      <w:r>
        <w:rPr>
          <w:rFonts w:ascii="Times New Roman" w:hAnsi="Times New Roman" w:cs="Times New Roman"/>
          <w:szCs w:val="32"/>
        </w:rPr>
        <w:t>（7）若投标人对某些项目未报价，则应认为已包括在总报价内。</w:t>
      </w:r>
    </w:p>
    <w:p w14:paraId="161B4F73">
      <w:pPr>
        <w:tabs>
          <w:tab w:val="left" w:pos="945"/>
        </w:tabs>
        <w:spacing w:line="360" w:lineRule="auto"/>
        <w:ind w:left="1027" w:leftChars="228" w:hanging="480" w:hangingChars="200"/>
        <w:rPr>
          <w:rFonts w:ascii="Times New Roman" w:hAnsi="Times New Roman" w:cs="Times New Roman"/>
          <w:szCs w:val="32"/>
        </w:rPr>
      </w:pPr>
      <w:r>
        <w:rPr>
          <w:rFonts w:hint="eastAsia" w:ascii="Times New Roman" w:hAnsi="Times New Roman" w:cs="Times New Roman"/>
          <w:szCs w:val="32"/>
        </w:rPr>
        <w:t>（</w:t>
      </w:r>
      <w:r>
        <w:rPr>
          <w:rFonts w:hint="eastAsia" w:ascii="Times New Roman" w:hAnsi="Times New Roman" w:cs="Times New Roman"/>
          <w:szCs w:val="32"/>
          <w:lang w:val="en-US"/>
        </w:rPr>
        <w:t>8</w:t>
      </w:r>
      <w:r>
        <w:rPr>
          <w:rFonts w:hint="eastAsia" w:ascii="Times New Roman" w:hAnsi="Times New Roman" w:cs="Times New Roman"/>
          <w:szCs w:val="32"/>
        </w:rPr>
        <w:t>）付款方式:银行转账。</w:t>
      </w:r>
    </w:p>
    <w:p w14:paraId="30C3B583">
      <w:pPr>
        <w:tabs>
          <w:tab w:val="left" w:pos="945"/>
        </w:tabs>
        <w:spacing w:line="360" w:lineRule="auto"/>
        <w:ind w:firstLine="480" w:firstLineChars="200"/>
        <w:rPr>
          <w:rFonts w:ascii="Times New Roman" w:hAnsi="Times New Roman" w:cs="Times New Roman"/>
          <w:szCs w:val="32"/>
        </w:rPr>
      </w:pPr>
      <w:r>
        <w:rPr>
          <w:rFonts w:ascii="Times New Roman" w:hAnsi="Times New Roman" w:cs="Times New Roman"/>
          <w:szCs w:val="32"/>
        </w:rPr>
        <w:t>（</w:t>
      </w:r>
      <w:r>
        <w:rPr>
          <w:rFonts w:hint="eastAsia" w:ascii="Times New Roman" w:hAnsi="Times New Roman" w:cs="Times New Roman"/>
          <w:szCs w:val="32"/>
          <w:lang w:val="en-US"/>
        </w:rPr>
        <w:t>9</w:t>
      </w:r>
      <w:r>
        <w:rPr>
          <w:rFonts w:ascii="Times New Roman" w:hAnsi="Times New Roman" w:cs="Times New Roman"/>
          <w:szCs w:val="32"/>
        </w:rPr>
        <w:t>）报价为含</w:t>
      </w:r>
      <w:r>
        <w:rPr>
          <w:rFonts w:ascii="Times New Roman" w:hAnsi="Times New Roman" w:cs="Times New Roman"/>
          <w:color w:val="0000FF"/>
          <w:szCs w:val="32"/>
          <w:lang w:val="en-US"/>
        </w:rPr>
        <w:t>6</w:t>
      </w:r>
      <w:r>
        <w:rPr>
          <w:rFonts w:ascii="Times New Roman" w:hAnsi="Times New Roman" w:cs="Times New Roman"/>
          <w:szCs w:val="32"/>
        </w:rPr>
        <w:t>%增值税专用发票价格（以人民币报价的方式）。</w:t>
      </w:r>
    </w:p>
    <w:p w14:paraId="5F17280C">
      <w:pPr>
        <w:pStyle w:val="22"/>
        <w:ind w:left="0" w:leftChars="0" w:firstLine="0" w:firstLineChars="0"/>
        <w:rPr>
          <w:rFonts w:ascii="Times New Roman" w:hAnsi="Times New Roman" w:cs="Times New Roman"/>
          <w:bCs/>
          <w:szCs w:val="32"/>
        </w:rPr>
      </w:pPr>
      <w:r>
        <w:rPr>
          <w:rFonts w:ascii="Times New Roman" w:hAnsi="Times New Roman" w:cs="Times New Roman"/>
          <w:bCs/>
          <w:szCs w:val="32"/>
        </w:rPr>
        <w:t>6.2报价一览表</w:t>
      </w:r>
    </w:p>
    <w:tbl>
      <w:tblPr>
        <w:tblStyle w:val="23"/>
        <w:tblpPr w:leftFromText="180" w:rightFromText="180" w:vertAnchor="text" w:horzAnchor="page" w:tblpX="1561" w:tblpY="224"/>
        <w:tblOverlap w:val="never"/>
        <w:tblW w:w="5006" w:type="pct"/>
        <w:tblInd w:w="0" w:type="dxa"/>
        <w:tblLayout w:type="fixed"/>
        <w:tblCellMar>
          <w:top w:w="0" w:type="dxa"/>
          <w:left w:w="0" w:type="dxa"/>
          <w:bottom w:w="0" w:type="dxa"/>
          <w:right w:w="0" w:type="dxa"/>
        </w:tblCellMar>
      </w:tblPr>
      <w:tblGrid>
        <w:gridCol w:w="1856"/>
        <w:gridCol w:w="3738"/>
        <w:gridCol w:w="3736"/>
      </w:tblGrid>
      <w:tr w14:paraId="25781223">
        <w:tblPrEx>
          <w:tblCellMar>
            <w:top w:w="0" w:type="dxa"/>
            <w:left w:w="0" w:type="dxa"/>
            <w:bottom w:w="0" w:type="dxa"/>
            <w:right w:w="0" w:type="dxa"/>
          </w:tblCellMar>
        </w:tblPrEx>
        <w:trPr>
          <w:trHeight w:val="561" w:hRule="atLeast"/>
        </w:trPr>
        <w:tc>
          <w:tcPr>
            <w:tcW w:w="995" w:type="pct"/>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14:paraId="16683CD0">
            <w:pPr>
              <w:widowControl/>
              <w:jc w:val="center"/>
              <w:textAlignment w:val="center"/>
              <w:rPr>
                <w:rFonts w:ascii="Times New Roman" w:hAnsi="Times New Roman" w:eastAsia="仿宋" w:cs="Times New Roman"/>
                <w:b/>
                <w:lang w:bidi="ar"/>
              </w:rPr>
            </w:pPr>
            <w:r>
              <w:rPr>
                <w:rFonts w:ascii="Times New Roman" w:hAnsi="Times New Roman" w:eastAsia="仿宋" w:cs="Times New Roman"/>
                <w:b/>
                <w:lang w:bidi="ar"/>
              </w:rPr>
              <w:t>名称</w:t>
            </w:r>
          </w:p>
        </w:tc>
        <w:tc>
          <w:tcPr>
            <w:tcW w:w="2003" w:type="pct"/>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14:paraId="37F1B2FB">
            <w:pPr>
              <w:widowControl/>
              <w:jc w:val="center"/>
              <w:textAlignment w:val="center"/>
              <w:rPr>
                <w:rFonts w:ascii="Times New Roman" w:hAnsi="Times New Roman" w:eastAsia="仿宋" w:cs="Times New Roman"/>
                <w:b/>
                <w:lang w:bidi="ar"/>
              </w:rPr>
            </w:pPr>
            <w:r>
              <w:rPr>
                <w:rFonts w:ascii="Times New Roman" w:hAnsi="Times New Roman" w:eastAsia="仿宋" w:cs="Times New Roman"/>
                <w:b/>
                <w:lang w:bidi="ar"/>
              </w:rPr>
              <w:t>描述</w:t>
            </w:r>
          </w:p>
        </w:tc>
        <w:tc>
          <w:tcPr>
            <w:tcW w:w="2002" w:type="pct"/>
            <w:tcBorders>
              <w:top w:val="single" w:color="auto" w:sz="4" w:space="0"/>
              <w:left w:val="single" w:color="auto" w:sz="4" w:space="0"/>
              <w:bottom w:val="single" w:color="auto" w:sz="4" w:space="0"/>
              <w:right w:val="single" w:color="auto" w:sz="4" w:space="0"/>
            </w:tcBorders>
            <w:vAlign w:val="center"/>
          </w:tcPr>
          <w:p w14:paraId="4E6C2298">
            <w:pPr>
              <w:widowControl/>
              <w:jc w:val="center"/>
              <w:textAlignment w:val="center"/>
              <w:rPr>
                <w:rFonts w:ascii="Times New Roman" w:hAnsi="Times New Roman" w:eastAsia="仿宋" w:cs="Times New Roman"/>
                <w:b/>
                <w:lang w:bidi="ar"/>
              </w:rPr>
            </w:pPr>
            <w:r>
              <w:rPr>
                <w:rFonts w:ascii="Times New Roman" w:hAnsi="Times New Roman" w:eastAsia="仿宋" w:cs="Times New Roman"/>
                <w:b/>
                <w:lang w:bidi="ar"/>
              </w:rPr>
              <w:t>金额（元）</w:t>
            </w:r>
          </w:p>
        </w:tc>
      </w:tr>
      <w:tr w14:paraId="482E6C98">
        <w:tblPrEx>
          <w:tblCellMar>
            <w:top w:w="0" w:type="dxa"/>
            <w:left w:w="0" w:type="dxa"/>
            <w:bottom w:w="0" w:type="dxa"/>
            <w:right w:w="0" w:type="dxa"/>
          </w:tblCellMar>
        </w:tblPrEx>
        <w:trPr>
          <w:trHeight w:val="953" w:hRule="atLeast"/>
        </w:trPr>
        <w:tc>
          <w:tcPr>
            <w:tcW w:w="995" w:type="pct"/>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14:paraId="0A5C984B">
            <w:pPr>
              <w:jc w:val="center"/>
              <w:textAlignment w:val="center"/>
              <w:rPr>
                <w:rFonts w:ascii="Times New Roman" w:hAnsi="Times New Roman" w:cs="Times New Roman"/>
              </w:rPr>
            </w:pPr>
            <w:r>
              <w:rPr>
                <w:rFonts w:ascii="Times New Roman" w:hAnsi="Times New Roman" w:cs="Times New Roman"/>
              </w:rPr>
              <w:t>1</w:t>
            </w:r>
          </w:p>
        </w:tc>
        <w:tc>
          <w:tcPr>
            <w:tcW w:w="2003" w:type="pct"/>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14:paraId="1D4B24FA">
            <w:pPr>
              <w:jc w:val="center"/>
              <w:rPr>
                <w:rFonts w:ascii="Times New Roman" w:hAnsi="Times New Roman" w:cs="Times New Roman"/>
              </w:rPr>
            </w:pPr>
          </w:p>
        </w:tc>
        <w:tc>
          <w:tcPr>
            <w:tcW w:w="2002" w:type="pct"/>
            <w:tcBorders>
              <w:top w:val="single" w:color="auto" w:sz="4" w:space="0"/>
              <w:left w:val="single" w:color="auto" w:sz="4" w:space="0"/>
              <w:bottom w:val="single" w:color="auto" w:sz="4" w:space="0"/>
              <w:right w:val="single" w:color="auto" w:sz="4" w:space="0"/>
            </w:tcBorders>
          </w:tcPr>
          <w:p w14:paraId="66D65958">
            <w:pPr>
              <w:jc w:val="center"/>
              <w:rPr>
                <w:rFonts w:ascii="Times New Roman" w:hAnsi="Times New Roman" w:cs="Times New Roman"/>
              </w:rPr>
            </w:pPr>
          </w:p>
        </w:tc>
      </w:tr>
      <w:tr w14:paraId="234FCA97">
        <w:tblPrEx>
          <w:tblCellMar>
            <w:top w:w="0" w:type="dxa"/>
            <w:left w:w="0" w:type="dxa"/>
            <w:bottom w:w="0" w:type="dxa"/>
            <w:right w:w="0" w:type="dxa"/>
          </w:tblCellMar>
        </w:tblPrEx>
        <w:trPr>
          <w:trHeight w:val="953" w:hRule="atLeast"/>
        </w:trPr>
        <w:tc>
          <w:tcPr>
            <w:tcW w:w="995" w:type="pct"/>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14:paraId="3808E513">
            <w:pPr>
              <w:jc w:val="center"/>
              <w:textAlignment w:val="center"/>
              <w:rPr>
                <w:rFonts w:ascii="Times New Roman" w:hAnsi="Times New Roman" w:cs="Times New Roman"/>
              </w:rPr>
            </w:pPr>
            <w:r>
              <w:rPr>
                <w:rFonts w:ascii="Times New Roman" w:hAnsi="Times New Roman" w:cs="Times New Roman"/>
              </w:rPr>
              <w:t>2</w:t>
            </w:r>
          </w:p>
        </w:tc>
        <w:tc>
          <w:tcPr>
            <w:tcW w:w="2003" w:type="pct"/>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14:paraId="4848EC48">
            <w:pPr>
              <w:jc w:val="center"/>
              <w:rPr>
                <w:rFonts w:ascii="Times New Roman" w:hAnsi="Times New Roman" w:cs="Times New Roman"/>
              </w:rPr>
            </w:pPr>
          </w:p>
        </w:tc>
        <w:tc>
          <w:tcPr>
            <w:tcW w:w="2002" w:type="pct"/>
            <w:tcBorders>
              <w:top w:val="single" w:color="auto" w:sz="4" w:space="0"/>
              <w:left w:val="single" w:color="auto" w:sz="4" w:space="0"/>
              <w:bottom w:val="single" w:color="auto" w:sz="4" w:space="0"/>
              <w:right w:val="single" w:color="auto" w:sz="4" w:space="0"/>
            </w:tcBorders>
          </w:tcPr>
          <w:p w14:paraId="309D72F4">
            <w:pPr>
              <w:jc w:val="center"/>
              <w:rPr>
                <w:rFonts w:ascii="Times New Roman" w:hAnsi="Times New Roman" w:cs="Times New Roman"/>
              </w:rPr>
            </w:pPr>
          </w:p>
        </w:tc>
      </w:tr>
      <w:tr w14:paraId="7CEF3768">
        <w:tblPrEx>
          <w:tblCellMar>
            <w:top w:w="0" w:type="dxa"/>
            <w:left w:w="0" w:type="dxa"/>
            <w:bottom w:w="0" w:type="dxa"/>
            <w:right w:w="0" w:type="dxa"/>
          </w:tblCellMar>
        </w:tblPrEx>
        <w:trPr>
          <w:trHeight w:val="953" w:hRule="atLeast"/>
        </w:trPr>
        <w:tc>
          <w:tcPr>
            <w:tcW w:w="995" w:type="pct"/>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14:paraId="471BD56D">
            <w:pPr>
              <w:jc w:val="center"/>
              <w:textAlignment w:val="center"/>
              <w:rPr>
                <w:rFonts w:ascii="Times New Roman" w:hAnsi="Times New Roman" w:cs="Times New Roman"/>
              </w:rPr>
            </w:pPr>
            <w:r>
              <w:rPr>
                <w:rFonts w:ascii="Times New Roman" w:hAnsi="Times New Roman" w:cs="Times New Roman"/>
              </w:rPr>
              <w:t>……</w:t>
            </w:r>
          </w:p>
        </w:tc>
        <w:tc>
          <w:tcPr>
            <w:tcW w:w="2003" w:type="pct"/>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14:paraId="11D796E2">
            <w:pPr>
              <w:jc w:val="center"/>
              <w:rPr>
                <w:rFonts w:ascii="Times New Roman" w:hAnsi="Times New Roman" w:cs="Times New Roman"/>
              </w:rPr>
            </w:pPr>
          </w:p>
        </w:tc>
        <w:tc>
          <w:tcPr>
            <w:tcW w:w="2002" w:type="pct"/>
            <w:tcBorders>
              <w:top w:val="single" w:color="auto" w:sz="4" w:space="0"/>
              <w:left w:val="single" w:color="auto" w:sz="4" w:space="0"/>
              <w:bottom w:val="single" w:color="auto" w:sz="4" w:space="0"/>
              <w:right w:val="single" w:color="auto" w:sz="4" w:space="0"/>
            </w:tcBorders>
          </w:tcPr>
          <w:p w14:paraId="16C41F3D">
            <w:pPr>
              <w:jc w:val="center"/>
              <w:rPr>
                <w:rFonts w:ascii="Times New Roman" w:hAnsi="Times New Roman" w:cs="Times New Roman"/>
              </w:rPr>
            </w:pPr>
          </w:p>
        </w:tc>
      </w:tr>
      <w:tr w14:paraId="0EF092A3">
        <w:tblPrEx>
          <w:tblCellMar>
            <w:top w:w="0" w:type="dxa"/>
            <w:left w:w="0" w:type="dxa"/>
            <w:bottom w:w="0" w:type="dxa"/>
            <w:right w:w="0" w:type="dxa"/>
          </w:tblCellMar>
        </w:tblPrEx>
        <w:trPr>
          <w:trHeight w:val="953" w:hRule="atLeast"/>
        </w:trPr>
        <w:tc>
          <w:tcPr>
            <w:tcW w:w="995" w:type="pct"/>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14:paraId="002D7F3B">
            <w:pPr>
              <w:jc w:val="center"/>
              <w:textAlignment w:val="center"/>
              <w:rPr>
                <w:rFonts w:ascii="Times New Roman" w:hAnsi="Times New Roman" w:cs="Times New Roman"/>
              </w:rPr>
            </w:pPr>
            <w:r>
              <w:rPr>
                <w:rFonts w:ascii="Times New Roman" w:hAnsi="Times New Roman" w:cs="Times New Roman"/>
              </w:rPr>
              <w:t>合计</w:t>
            </w:r>
          </w:p>
        </w:tc>
        <w:tc>
          <w:tcPr>
            <w:tcW w:w="2003" w:type="pct"/>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14:paraId="6C76A404">
            <w:pPr>
              <w:jc w:val="center"/>
              <w:rPr>
                <w:rFonts w:ascii="Times New Roman" w:hAnsi="Times New Roman" w:cs="Times New Roman"/>
              </w:rPr>
            </w:pPr>
          </w:p>
        </w:tc>
        <w:tc>
          <w:tcPr>
            <w:tcW w:w="2002" w:type="pct"/>
            <w:tcBorders>
              <w:top w:val="single" w:color="auto" w:sz="4" w:space="0"/>
              <w:left w:val="single" w:color="auto" w:sz="4" w:space="0"/>
              <w:bottom w:val="single" w:color="auto" w:sz="4" w:space="0"/>
              <w:right w:val="single" w:color="auto" w:sz="4" w:space="0"/>
            </w:tcBorders>
          </w:tcPr>
          <w:p w14:paraId="1E7F2664">
            <w:pPr>
              <w:jc w:val="center"/>
              <w:rPr>
                <w:rFonts w:ascii="Times New Roman" w:hAnsi="Times New Roman" w:cs="Times New Roman"/>
              </w:rPr>
            </w:pPr>
          </w:p>
        </w:tc>
      </w:tr>
      <w:tr w14:paraId="70D1B8FD">
        <w:tblPrEx>
          <w:tblCellMar>
            <w:top w:w="0" w:type="dxa"/>
            <w:left w:w="0" w:type="dxa"/>
            <w:bottom w:w="0" w:type="dxa"/>
            <w:right w:w="0" w:type="dxa"/>
          </w:tblCellMar>
        </w:tblPrEx>
        <w:trPr>
          <w:trHeight w:val="953" w:hRule="atLeast"/>
        </w:trPr>
        <w:tc>
          <w:tcPr>
            <w:tcW w:w="5000" w:type="pct"/>
            <w:gridSpan w:val="3"/>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14:paraId="3E36358E">
            <w:pPr>
              <w:rPr>
                <w:rFonts w:ascii="Times New Roman" w:hAnsi="Times New Roman" w:cs="Times New Roman"/>
                <w:bCs/>
              </w:rPr>
            </w:pPr>
            <w:r>
              <w:rPr>
                <w:rFonts w:ascii="Times New Roman" w:hAnsi="Times New Roman" w:cs="Times New Roman"/>
                <w:bCs/>
              </w:rPr>
              <w:t>合计金额：</w:t>
            </w:r>
            <w:r>
              <w:rPr>
                <w:rFonts w:ascii="Times New Roman" w:hAnsi="Times New Roman" w:cs="Times New Roman"/>
                <w:bCs/>
                <w:u w:val="single"/>
              </w:rPr>
              <w:t xml:space="preserve">        </w:t>
            </w:r>
            <w:r>
              <w:rPr>
                <w:rFonts w:ascii="Times New Roman" w:hAnsi="Times New Roman" w:cs="Times New Roman"/>
                <w:bCs/>
              </w:rPr>
              <w:t>元；</w:t>
            </w:r>
          </w:p>
          <w:p w14:paraId="40B16738">
            <w:pPr>
              <w:rPr>
                <w:rFonts w:ascii="Times New Roman" w:hAnsi="Times New Roman" w:cs="Times New Roman"/>
              </w:rPr>
            </w:pPr>
            <w:r>
              <w:rPr>
                <w:rFonts w:ascii="Times New Roman" w:hAnsi="Times New Roman" w:cs="Times New Roman"/>
                <w:bCs/>
              </w:rPr>
              <w:t>（含税6%）</w:t>
            </w:r>
          </w:p>
        </w:tc>
      </w:tr>
    </w:tbl>
    <w:p w14:paraId="38B2C676">
      <w:pPr>
        <w:rPr>
          <w:rFonts w:ascii="Times New Roman" w:hAnsi="Times New Roman" w:cs="Times New Roman"/>
        </w:rPr>
      </w:pPr>
    </w:p>
    <w:p w14:paraId="3D745CC8">
      <w:pPr>
        <w:widowControl/>
        <w:spacing w:line="360" w:lineRule="auto"/>
        <w:ind w:firstLine="4096" w:firstLineChars="1700"/>
        <w:rPr>
          <w:rFonts w:ascii="Times New Roman" w:hAnsi="Times New Roman" w:cs="Times New Roman"/>
          <w:b/>
        </w:rPr>
      </w:pPr>
      <w:r>
        <w:rPr>
          <w:rFonts w:ascii="Times New Roman" w:hAnsi="Times New Roman" w:cs="Times New Roman"/>
          <w:b/>
        </w:rPr>
        <w:t>投标人：（盖单位章）</w:t>
      </w:r>
    </w:p>
    <w:p w14:paraId="34183C2C">
      <w:pPr>
        <w:widowControl/>
        <w:spacing w:line="360" w:lineRule="auto"/>
        <w:ind w:firstLine="4096" w:firstLineChars="1700"/>
        <w:rPr>
          <w:rFonts w:ascii="Times New Roman" w:hAnsi="Times New Roman" w:cs="Times New Roman"/>
          <w:b/>
        </w:rPr>
      </w:pPr>
      <w:r>
        <w:rPr>
          <w:rFonts w:ascii="Times New Roman" w:hAnsi="Times New Roman" w:cs="Times New Roman"/>
          <w:b/>
        </w:rPr>
        <w:t>法定代表人或其委托代理人：（签字）</w:t>
      </w:r>
    </w:p>
    <w:p w14:paraId="20C943D2">
      <w:pPr>
        <w:widowControl/>
        <w:spacing w:line="360" w:lineRule="auto"/>
        <w:ind w:firstLine="6987" w:firstLineChars="2900"/>
        <w:rPr>
          <w:rFonts w:ascii="Times New Roman" w:hAnsi="Times New Roman" w:cs="Times New Roman"/>
          <w:b/>
        </w:rPr>
      </w:pPr>
      <w:r>
        <w:rPr>
          <w:rFonts w:ascii="Times New Roman" w:hAnsi="Times New Roman" w:cs="Times New Roman"/>
          <w:b/>
        </w:rPr>
        <w:t>年  月  日</w:t>
      </w:r>
    </w:p>
    <w:p w14:paraId="643B8EFA"/>
    <w:p w14:paraId="5BE8F5CB">
      <w:pPr>
        <w:rPr>
          <w:rFonts w:ascii="Times New Roman" w:hAnsi="Times New Roman"/>
          <w:b/>
        </w:rPr>
      </w:pPr>
      <w:bookmarkStart w:id="302" w:name="_Toc31362"/>
      <w:bookmarkStart w:id="303" w:name="_Toc69474574"/>
      <w:r>
        <w:rPr>
          <w:rFonts w:ascii="Times New Roman" w:hAnsi="Times New Roman"/>
        </w:rPr>
        <w:t>6.3分项报价明细表</w:t>
      </w:r>
      <w:bookmarkEnd w:id="302"/>
      <w:bookmarkEnd w:id="303"/>
    </w:p>
    <w:tbl>
      <w:tblPr>
        <w:tblStyle w:val="23"/>
        <w:tblpPr w:leftFromText="180" w:rightFromText="180" w:vertAnchor="text" w:horzAnchor="margin" w:tblpY="95"/>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870"/>
        <w:gridCol w:w="2312"/>
        <w:gridCol w:w="3251"/>
        <w:gridCol w:w="1410"/>
        <w:gridCol w:w="1021"/>
      </w:tblGrid>
      <w:tr w14:paraId="01277DF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98" w:hRule="atLeast"/>
        </w:trPr>
        <w:tc>
          <w:tcPr>
            <w:tcW w:w="870" w:type="dxa"/>
            <w:vAlign w:val="center"/>
          </w:tcPr>
          <w:p w14:paraId="132A58F2">
            <w:pPr>
              <w:autoSpaceDE w:val="0"/>
              <w:autoSpaceDN w:val="0"/>
              <w:spacing w:before="182"/>
              <w:ind w:left="148" w:right="138"/>
              <w:jc w:val="center"/>
              <w:rPr>
                <w:rFonts w:ascii="Times New Roman" w:hAnsi="Times New Roman" w:cs="Times New Roman"/>
                <w:lang w:eastAsia="en-US" w:bidi="zh-CN"/>
              </w:rPr>
            </w:pPr>
            <w:r>
              <w:rPr>
                <w:rFonts w:ascii="Times New Roman" w:hAnsi="Times New Roman" w:cs="Times New Roman"/>
                <w:lang w:eastAsia="en-US" w:bidi="zh-CN"/>
              </w:rPr>
              <w:t>序号</w:t>
            </w:r>
          </w:p>
        </w:tc>
        <w:tc>
          <w:tcPr>
            <w:tcW w:w="2312" w:type="dxa"/>
            <w:vAlign w:val="center"/>
          </w:tcPr>
          <w:p w14:paraId="5AA2FA7A">
            <w:pPr>
              <w:autoSpaceDE w:val="0"/>
              <w:autoSpaceDN w:val="0"/>
              <w:spacing w:before="182"/>
              <w:ind w:right="62"/>
              <w:jc w:val="center"/>
              <w:rPr>
                <w:rFonts w:ascii="Times New Roman" w:hAnsi="Times New Roman" w:cs="Times New Roman"/>
                <w:lang w:eastAsia="en-US" w:bidi="zh-CN"/>
              </w:rPr>
            </w:pPr>
            <w:r>
              <w:rPr>
                <w:rFonts w:ascii="Times New Roman" w:hAnsi="Times New Roman" w:cs="Times New Roman"/>
                <w:lang w:eastAsia="en-US" w:bidi="zh-CN"/>
              </w:rPr>
              <w:t>分项名称</w:t>
            </w:r>
          </w:p>
        </w:tc>
        <w:tc>
          <w:tcPr>
            <w:tcW w:w="3251" w:type="dxa"/>
            <w:tcBorders>
              <w:right w:val="single" w:color="auto" w:sz="4" w:space="0"/>
            </w:tcBorders>
            <w:vAlign w:val="center"/>
          </w:tcPr>
          <w:p w14:paraId="39700DDC">
            <w:pPr>
              <w:autoSpaceDE w:val="0"/>
              <w:autoSpaceDN w:val="0"/>
              <w:spacing w:line="560" w:lineRule="exact"/>
              <w:ind w:right="118"/>
              <w:jc w:val="center"/>
              <w:rPr>
                <w:rFonts w:ascii="Times New Roman" w:hAnsi="Times New Roman" w:cs="Times New Roman"/>
                <w:lang w:bidi="zh-CN"/>
              </w:rPr>
            </w:pPr>
            <w:r>
              <w:rPr>
                <w:rFonts w:ascii="Times New Roman" w:hAnsi="Times New Roman" w:cs="Times New Roman"/>
                <w:lang w:eastAsia="en-US" w:bidi="zh-CN"/>
              </w:rPr>
              <w:t>分项报价</w:t>
            </w:r>
            <w:r>
              <w:rPr>
                <w:rFonts w:ascii="Times New Roman" w:hAnsi="Times New Roman" w:cs="Times New Roman"/>
                <w:lang w:bidi="zh-CN"/>
              </w:rPr>
              <w:t>明细</w:t>
            </w:r>
          </w:p>
        </w:tc>
        <w:tc>
          <w:tcPr>
            <w:tcW w:w="1410" w:type="dxa"/>
            <w:tcBorders>
              <w:left w:val="single" w:color="auto" w:sz="4" w:space="0"/>
            </w:tcBorders>
            <w:vAlign w:val="center"/>
          </w:tcPr>
          <w:p w14:paraId="1AD08E36">
            <w:pPr>
              <w:autoSpaceDE w:val="0"/>
              <w:autoSpaceDN w:val="0"/>
              <w:spacing w:line="560" w:lineRule="exact"/>
              <w:jc w:val="center"/>
              <w:rPr>
                <w:rFonts w:ascii="Times New Roman" w:hAnsi="Times New Roman" w:cs="Times New Roman"/>
                <w:lang w:bidi="zh-CN"/>
              </w:rPr>
            </w:pPr>
            <w:r>
              <w:rPr>
                <w:rFonts w:ascii="Times New Roman" w:hAnsi="Times New Roman" w:cs="Times New Roman"/>
                <w:lang w:bidi="zh-CN"/>
              </w:rPr>
              <w:t>报价（元）</w:t>
            </w:r>
          </w:p>
        </w:tc>
        <w:tc>
          <w:tcPr>
            <w:tcW w:w="1021" w:type="dxa"/>
            <w:vAlign w:val="center"/>
          </w:tcPr>
          <w:p w14:paraId="4DEC6690">
            <w:pPr>
              <w:autoSpaceDE w:val="0"/>
              <w:autoSpaceDN w:val="0"/>
              <w:spacing w:before="182"/>
              <w:jc w:val="center"/>
              <w:rPr>
                <w:rFonts w:ascii="Times New Roman" w:hAnsi="Times New Roman" w:cs="Times New Roman"/>
                <w:lang w:eastAsia="en-US" w:bidi="zh-CN"/>
              </w:rPr>
            </w:pPr>
            <w:r>
              <w:rPr>
                <w:rFonts w:ascii="Times New Roman" w:hAnsi="Times New Roman" w:cs="Times New Roman"/>
                <w:lang w:eastAsia="en-US" w:bidi="zh-CN"/>
              </w:rPr>
              <w:t>备注</w:t>
            </w:r>
          </w:p>
        </w:tc>
      </w:tr>
      <w:tr w14:paraId="745ECAC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69" w:hRule="atLeast"/>
        </w:trPr>
        <w:tc>
          <w:tcPr>
            <w:tcW w:w="870" w:type="dxa"/>
            <w:tcBorders>
              <w:bottom w:val="single" w:color="auto" w:sz="4" w:space="0"/>
            </w:tcBorders>
            <w:vAlign w:val="center"/>
          </w:tcPr>
          <w:p w14:paraId="6317B2BC">
            <w:pPr>
              <w:autoSpaceDE w:val="0"/>
              <w:autoSpaceDN w:val="0"/>
              <w:ind w:left="10"/>
              <w:jc w:val="center"/>
              <w:rPr>
                <w:rFonts w:ascii="Times New Roman" w:hAnsi="Times New Roman" w:cs="Times New Roman"/>
                <w:lang w:bidi="zh-CN"/>
              </w:rPr>
            </w:pPr>
            <w:r>
              <w:rPr>
                <w:rFonts w:ascii="Times New Roman" w:hAnsi="Times New Roman" w:cs="Times New Roman"/>
                <w:lang w:bidi="zh-CN"/>
              </w:rPr>
              <w:t>1</w:t>
            </w:r>
          </w:p>
        </w:tc>
        <w:tc>
          <w:tcPr>
            <w:tcW w:w="2312" w:type="dxa"/>
            <w:tcBorders>
              <w:bottom w:val="single" w:color="auto" w:sz="4" w:space="0"/>
            </w:tcBorders>
            <w:vAlign w:val="center"/>
          </w:tcPr>
          <w:p w14:paraId="1F30BFE0">
            <w:pPr>
              <w:autoSpaceDE w:val="0"/>
              <w:autoSpaceDN w:val="0"/>
              <w:jc w:val="center"/>
              <w:rPr>
                <w:rFonts w:ascii="Times New Roman" w:hAnsi="Times New Roman" w:cs="Times New Roman"/>
                <w:lang w:bidi="zh-CN"/>
              </w:rPr>
            </w:pPr>
          </w:p>
        </w:tc>
        <w:tc>
          <w:tcPr>
            <w:tcW w:w="3251" w:type="dxa"/>
            <w:tcBorders>
              <w:bottom w:val="single" w:color="auto" w:sz="4" w:space="0"/>
              <w:right w:val="single" w:color="auto" w:sz="4" w:space="0"/>
            </w:tcBorders>
            <w:vAlign w:val="center"/>
          </w:tcPr>
          <w:p w14:paraId="2C3DB0B2">
            <w:pPr>
              <w:autoSpaceDE w:val="0"/>
              <w:autoSpaceDN w:val="0"/>
              <w:ind w:left="108"/>
              <w:jc w:val="center"/>
              <w:rPr>
                <w:rFonts w:ascii="Times New Roman" w:hAnsi="Times New Roman" w:cs="Times New Roman"/>
                <w:lang w:bidi="zh-CN"/>
              </w:rPr>
            </w:pPr>
          </w:p>
        </w:tc>
        <w:tc>
          <w:tcPr>
            <w:tcW w:w="1410" w:type="dxa"/>
            <w:tcBorders>
              <w:left w:val="single" w:color="auto" w:sz="4" w:space="0"/>
              <w:bottom w:val="single" w:color="auto" w:sz="4" w:space="0"/>
            </w:tcBorders>
            <w:vAlign w:val="center"/>
          </w:tcPr>
          <w:p w14:paraId="55B0589B">
            <w:pPr>
              <w:autoSpaceDE w:val="0"/>
              <w:autoSpaceDN w:val="0"/>
              <w:jc w:val="center"/>
              <w:rPr>
                <w:rFonts w:ascii="Times New Roman" w:hAnsi="Times New Roman" w:cs="Times New Roman"/>
                <w:lang w:bidi="zh-CN"/>
              </w:rPr>
            </w:pPr>
          </w:p>
        </w:tc>
        <w:tc>
          <w:tcPr>
            <w:tcW w:w="1021" w:type="dxa"/>
            <w:tcBorders>
              <w:bottom w:val="single" w:color="auto" w:sz="4" w:space="0"/>
            </w:tcBorders>
            <w:vAlign w:val="center"/>
          </w:tcPr>
          <w:p w14:paraId="69441822">
            <w:pPr>
              <w:autoSpaceDE w:val="0"/>
              <w:autoSpaceDN w:val="0"/>
              <w:jc w:val="center"/>
              <w:rPr>
                <w:rFonts w:ascii="Times New Roman" w:hAnsi="Times New Roman" w:cs="Times New Roman"/>
                <w:lang w:bidi="zh-CN"/>
              </w:rPr>
            </w:pPr>
          </w:p>
        </w:tc>
      </w:tr>
      <w:tr w14:paraId="18FE21C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69" w:hRule="atLeast"/>
        </w:trPr>
        <w:tc>
          <w:tcPr>
            <w:tcW w:w="870" w:type="dxa"/>
            <w:tcBorders>
              <w:top w:val="single" w:color="auto" w:sz="4" w:space="0"/>
              <w:bottom w:val="single" w:color="auto" w:sz="4" w:space="0"/>
            </w:tcBorders>
            <w:vAlign w:val="center"/>
          </w:tcPr>
          <w:p w14:paraId="73965337">
            <w:pPr>
              <w:autoSpaceDE w:val="0"/>
              <w:autoSpaceDN w:val="0"/>
              <w:ind w:left="10"/>
              <w:jc w:val="center"/>
              <w:rPr>
                <w:rFonts w:ascii="Times New Roman" w:hAnsi="Times New Roman" w:cs="Times New Roman"/>
                <w:lang w:bidi="zh-CN"/>
              </w:rPr>
            </w:pPr>
            <w:r>
              <w:rPr>
                <w:rFonts w:ascii="Times New Roman" w:hAnsi="Times New Roman" w:cs="Times New Roman"/>
                <w:lang w:bidi="zh-CN"/>
              </w:rPr>
              <w:t>2</w:t>
            </w:r>
          </w:p>
        </w:tc>
        <w:tc>
          <w:tcPr>
            <w:tcW w:w="2312" w:type="dxa"/>
            <w:tcBorders>
              <w:top w:val="single" w:color="auto" w:sz="4" w:space="0"/>
              <w:bottom w:val="single" w:color="auto" w:sz="4" w:space="0"/>
            </w:tcBorders>
            <w:vAlign w:val="center"/>
          </w:tcPr>
          <w:p w14:paraId="690348DC">
            <w:pPr>
              <w:autoSpaceDE w:val="0"/>
              <w:autoSpaceDN w:val="0"/>
              <w:jc w:val="center"/>
              <w:rPr>
                <w:rFonts w:ascii="Times New Roman" w:hAnsi="Times New Roman" w:cs="Times New Roman"/>
                <w:lang w:bidi="zh-CN"/>
              </w:rPr>
            </w:pPr>
          </w:p>
        </w:tc>
        <w:tc>
          <w:tcPr>
            <w:tcW w:w="3251" w:type="dxa"/>
            <w:tcBorders>
              <w:top w:val="single" w:color="auto" w:sz="4" w:space="0"/>
              <w:bottom w:val="single" w:color="auto" w:sz="4" w:space="0"/>
              <w:right w:val="single" w:color="auto" w:sz="4" w:space="0"/>
            </w:tcBorders>
            <w:vAlign w:val="center"/>
          </w:tcPr>
          <w:p w14:paraId="3E0EFEB5">
            <w:pPr>
              <w:autoSpaceDE w:val="0"/>
              <w:autoSpaceDN w:val="0"/>
              <w:ind w:left="108"/>
              <w:jc w:val="center"/>
              <w:rPr>
                <w:rFonts w:ascii="Times New Roman" w:hAnsi="Times New Roman" w:cs="Times New Roman"/>
                <w:lang w:bidi="zh-CN"/>
              </w:rPr>
            </w:pPr>
          </w:p>
        </w:tc>
        <w:tc>
          <w:tcPr>
            <w:tcW w:w="1410" w:type="dxa"/>
            <w:tcBorders>
              <w:top w:val="single" w:color="auto" w:sz="4" w:space="0"/>
              <w:left w:val="single" w:color="auto" w:sz="4" w:space="0"/>
              <w:bottom w:val="single" w:color="auto" w:sz="4" w:space="0"/>
            </w:tcBorders>
            <w:vAlign w:val="center"/>
          </w:tcPr>
          <w:p w14:paraId="604E36F9">
            <w:pPr>
              <w:autoSpaceDE w:val="0"/>
              <w:autoSpaceDN w:val="0"/>
              <w:jc w:val="center"/>
              <w:rPr>
                <w:rFonts w:ascii="Times New Roman" w:hAnsi="Times New Roman" w:cs="Times New Roman"/>
                <w:lang w:bidi="zh-CN"/>
              </w:rPr>
            </w:pPr>
          </w:p>
        </w:tc>
        <w:tc>
          <w:tcPr>
            <w:tcW w:w="1021" w:type="dxa"/>
            <w:tcBorders>
              <w:top w:val="single" w:color="auto" w:sz="4" w:space="0"/>
              <w:bottom w:val="single" w:color="auto" w:sz="4" w:space="0"/>
            </w:tcBorders>
            <w:vAlign w:val="center"/>
          </w:tcPr>
          <w:p w14:paraId="339FEAC4">
            <w:pPr>
              <w:autoSpaceDE w:val="0"/>
              <w:autoSpaceDN w:val="0"/>
              <w:jc w:val="center"/>
              <w:rPr>
                <w:rFonts w:ascii="Times New Roman" w:hAnsi="Times New Roman" w:cs="Times New Roman"/>
                <w:lang w:bidi="zh-CN"/>
              </w:rPr>
            </w:pPr>
          </w:p>
        </w:tc>
      </w:tr>
      <w:tr w14:paraId="1705C84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69" w:hRule="atLeast"/>
        </w:trPr>
        <w:tc>
          <w:tcPr>
            <w:tcW w:w="870" w:type="dxa"/>
            <w:tcBorders>
              <w:top w:val="single" w:color="auto" w:sz="4" w:space="0"/>
              <w:bottom w:val="single" w:color="auto" w:sz="4" w:space="0"/>
            </w:tcBorders>
            <w:vAlign w:val="center"/>
          </w:tcPr>
          <w:p w14:paraId="68633240">
            <w:pPr>
              <w:autoSpaceDE w:val="0"/>
              <w:autoSpaceDN w:val="0"/>
              <w:ind w:left="10"/>
              <w:jc w:val="center"/>
              <w:rPr>
                <w:rFonts w:ascii="Times New Roman" w:hAnsi="Times New Roman" w:cs="Times New Roman"/>
                <w:lang w:bidi="zh-CN"/>
              </w:rPr>
            </w:pPr>
            <w:r>
              <w:rPr>
                <w:rFonts w:ascii="Times New Roman" w:hAnsi="Times New Roman" w:cs="Times New Roman"/>
                <w:lang w:bidi="zh-CN"/>
              </w:rPr>
              <w:t>3</w:t>
            </w:r>
          </w:p>
        </w:tc>
        <w:tc>
          <w:tcPr>
            <w:tcW w:w="2312" w:type="dxa"/>
            <w:tcBorders>
              <w:top w:val="single" w:color="auto" w:sz="4" w:space="0"/>
              <w:bottom w:val="single" w:color="auto" w:sz="4" w:space="0"/>
            </w:tcBorders>
            <w:vAlign w:val="center"/>
          </w:tcPr>
          <w:p w14:paraId="408BA25B">
            <w:pPr>
              <w:autoSpaceDE w:val="0"/>
              <w:autoSpaceDN w:val="0"/>
              <w:jc w:val="center"/>
              <w:rPr>
                <w:rFonts w:ascii="Times New Roman" w:hAnsi="Times New Roman" w:cs="Times New Roman"/>
                <w:lang w:bidi="zh-CN"/>
              </w:rPr>
            </w:pPr>
          </w:p>
        </w:tc>
        <w:tc>
          <w:tcPr>
            <w:tcW w:w="3251" w:type="dxa"/>
            <w:tcBorders>
              <w:top w:val="single" w:color="auto" w:sz="4" w:space="0"/>
              <w:bottom w:val="single" w:color="auto" w:sz="4" w:space="0"/>
              <w:right w:val="single" w:color="auto" w:sz="4" w:space="0"/>
            </w:tcBorders>
            <w:vAlign w:val="center"/>
          </w:tcPr>
          <w:p w14:paraId="47E0667C">
            <w:pPr>
              <w:autoSpaceDE w:val="0"/>
              <w:autoSpaceDN w:val="0"/>
              <w:ind w:left="108"/>
              <w:jc w:val="center"/>
              <w:rPr>
                <w:rFonts w:ascii="Times New Roman" w:hAnsi="Times New Roman" w:cs="Times New Roman"/>
                <w:lang w:bidi="zh-CN"/>
              </w:rPr>
            </w:pPr>
          </w:p>
        </w:tc>
        <w:tc>
          <w:tcPr>
            <w:tcW w:w="1410" w:type="dxa"/>
            <w:tcBorders>
              <w:top w:val="single" w:color="auto" w:sz="4" w:space="0"/>
              <w:left w:val="single" w:color="auto" w:sz="4" w:space="0"/>
            </w:tcBorders>
            <w:vAlign w:val="center"/>
          </w:tcPr>
          <w:p w14:paraId="06C86C55">
            <w:pPr>
              <w:autoSpaceDE w:val="0"/>
              <w:autoSpaceDN w:val="0"/>
              <w:jc w:val="center"/>
              <w:rPr>
                <w:rFonts w:ascii="Times New Roman" w:hAnsi="Times New Roman" w:cs="Times New Roman"/>
                <w:lang w:bidi="zh-CN"/>
              </w:rPr>
            </w:pPr>
          </w:p>
        </w:tc>
        <w:tc>
          <w:tcPr>
            <w:tcW w:w="1021" w:type="dxa"/>
            <w:tcBorders>
              <w:top w:val="single" w:color="auto" w:sz="4" w:space="0"/>
            </w:tcBorders>
            <w:vAlign w:val="center"/>
          </w:tcPr>
          <w:p w14:paraId="51F09EB8">
            <w:pPr>
              <w:autoSpaceDE w:val="0"/>
              <w:autoSpaceDN w:val="0"/>
              <w:jc w:val="center"/>
              <w:rPr>
                <w:rFonts w:ascii="Times New Roman" w:hAnsi="Times New Roman" w:cs="Times New Roman"/>
                <w:lang w:bidi="zh-CN"/>
              </w:rPr>
            </w:pPr>
          </w:p>
        </w:tc>
      </w:tr>
      <w:tr w14:paraId="297FDFC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69" w:hRule="atLeast"/>
        </w:trPr>
        <w:tc>
          <w:tcPr>
            <w:tcW w:w="870" w:type="dxa"/>
            <w:tcBorders>
              <w:top w:val="single" w:color="auto" w:sz="4" w:space="0"/>
              <w:bottom w:val="single" w:color="auto" w:sz="4" w:space="0"/>
            </w:tcBorders>
            <w:vAlign w:val="center"/>
          </w:tcPr>
          <w:p w14:paraId="53E0C739">
            <w:pPr>
              <w:autoSpaceDE w:val="0"/>
              <w:autoSpaceDN w:val="0"/>
              <w:ind w:left="10"/>
              <w:jc w:val="center"/>
              <w:rPr>
                <w:rFonts w:ascii="Times New Roman" w:hAnsi="Times New Roman" w:cs="Times New Roman"/>
                <w:lang w:bidi="zh-CN"/>
              </w:rPr>
            </w:pPr>
            <w:r>
              <w:rPr>
                <w:rFonts w:ascii="Times New Roman" w:hAnsi="Times New Roman" w:cs="Times New Roman"/>
                <w:lang w:bidi="zh-CN"/>
              </w:rPr>
              <w:t>4</w:t>
            </w:r>
          </w:p>
        </w:tc>
        <w:tc>
          <w:tcPr>
            <w:tcW w:w="2312" w:type="dxa"/>
            <w:tcBorders>
              <w:top w:val="single" w:color="auto" w:sz="4" w:space="0"/>
              <w:bottom w:val="single" w:color="auto" w:sz="4" w:space="0"/>
            </w:tcBorders>
            <w:vAlign w:val="center"/>
          </w:tcPr>
          <w:p w14:paraId="7147AC79">
            <w:pPr>
              <w:autoSpaceDE w:val="0"/>
              <w:autoSpaceDN w:val="0"/>
              <w:jc w:val="center"/>
              <w:rPr>
                <w:rFonts w:ascii="Times New Roman" w:hAnsi="Times New Roman" w:cs="Times New Roman"/>
                <w:lang w:bidi="zh-CN"/>
              </w:rPr>
            </w:pPr>
          </w:p>
        </w:tc>
        <w:tc>
          <w:tcPr>
            <w:tcW w:w="3251" w:type="dxa"/>
            <w:tcBorders>
              <w:top w:val="single" w:color="auto" w:sz="4" w:space="0"/>
              <w:bottom w:val="single" w:color="auto" w:sz="4" w:space="0"/>
              <w:right w:val="single" w:color="auto" w:sz="4" w:space="0"/>
            </w:tcBorders>
            <w:vAlign w:val="center"/>
          </w:tcPr>
          <w:p w14:paraId="65B084D5">
            <w:pPr>
              <w:autoSpaceDE w:val="0"/>
              <w:autoSpaceDN w:val="0"/>
              <w:ind w:left="108"/>
              <w:jc w:val="center"/>
              <w:rPr>
                <w:rFonts w:ascii="Times New Roman" w:hAnsi="Times New Roman" w:cs="Times New Roman"/>
                <w:lang w:bidi="zh-CN"/>
              </w:rPr>
            </w:pPr>
          </w:p>
        </w:tc>
        <w:tc>
          <w:tcPr>
            <w:tcW w:w="1410" w:type="dxa"/>
            <w:tcBorders>
              <w:top w:val="single" w:color="auto" w:sz="4" w:space="0"/>
              <w:left w:val="single" w:color="auto" w:sz="4" w:space="0"/>
            </w:tcBorders>
            <w:vAlign w:val="center"/>
          </w:tcPr>
          <w:p w14:paraId="3FE4C85B">
            <w:pPr>
              <w:autoSpaceDE w:val="0"/>
              <w:autoSpaceDN w:val="0"/>
              <w:jc w:val="center"/>
              <w:rPr>
                <w:rFonts w:ascii="Times New Roman" w:hAnsi="Times New Roman" w:cs="Times New Roman"/>
                <w:lang w:bidi="zh-CN"/>
              </w:rPr>
            </w:pPr>
          </w:p>
        </w:tc>
        <w:tc>
          <w:tcPr>
            <w:tcW w:w="1021" w:type="dxa"/>
            <w:tcBorders>
              <w:top w:val="single" w:color="auto" w:sz="4" w:space="0"/>
            </w:tcBorders>
            <w:vAlign w:val="center"/>
          </w:tcPr>
          <w:p w14:paraId="46E710E4">
            <w:pPr>
              <w:autoSpaceDE w:val="0"/>
              <w:autoSpaceDN w:val="0"/>
              <w:jc w:val="center"/>
              <w:rPr>
                <w:rFonts w:ascii="Times New Roman" w:hAnsi="Times New Roman" w:cs="Times New Roman"/>
                <w:lang w:bidi="zh-CN"/>
              </w:rPr>
            </w:pPr>
          </w:p>
        </w:tc>
      </w:tr>
      <w:tr w14:paraId="7EEFD3C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69" w:hRule="atLeast"/>
        </w:trPr>
        <w:tc>
          <w:tcPr>
            <w:tcW w:w="870" w:type="dxa"/>
            <w:tcBorders>
              <w:top w:val="single" w:color="auto" w:sz="4" w:space="0"/>
            </w:tcBorders>
            <w:vAlign w:val="center"/>
          </w:tcPr>
          <w:p w14:paraId="29B7E2A8">
            <w:pPr>
              <w:autoSpaceDE w:val="0"/>
              <w:autoSpaceDN w:val="0"/>
              <w:ind w:left="10"/>
              <w:jc w:val="center"/>
              <w:rPr>
                <w:rFonts w:ascii="Times New Roman" w:hAnsi="Times New Roman" w:cs="Times New Roman"/>
                <w:lang w:bidi="zh-CN"/>
              </w:rPr>
            </w:pPr>
            <w:r>
              <w:rPr>
                <w:rFonts w:ascii="Times New Roman" w:hAnsi="Times New Roman" w:cs="Times New Roman"/>
                <w:lang w:bidi="zh-CN"/>
              </w:rPr>
              <w:t>5</w:t>
            </w:r>
          </w:p>
        </w:tc>
        <w:tc>
          <w:tcPr>
            <w:tcW w:w="2312" w:type="dxa"/>
            <w:tcBorders>
              <w:top w:val="single" w:color="auto" w:sz="4" w:space="0"/>
            </w:tcBorders>
            <w:vAlign w:val="center"/>
          </w:tcPr>
          <w:p w14:paraId="0E7EFDF5">
            <w:pPr>
              <w:autoSpaceDE w:val="0"/>
              <w:autoSpaceDN w:val="0"/>
              <w:jc w:val="center"/>
              <w:rPr>
                <w:rFonts w:ascii="Times New Roman" w:hAnsi="Times New Roman" w:cs="Times New Roman"/>
                <w:lang w:bidi="zh-CN"/>
              </w:rPr>
            </w:pPr>
          </w:p>
        </w:tc>
        <w:tc>
          <w:tcPr>
            <w:tcW w:w="3251" w:type="dxa"/>
            <w:tcBorders>
              <w:top w:val="single" w:color="auto" w:sz="4" w:space="0"/>
              <w:right w:val="single" w:color="auto" w:sz="4" w:space="0"/>
            </w:tcBorders>
            <w:vAlign w:val="center"/>
          </w:tcPr>
          <w:p w14:paraId="38E158F3">
            <w:pPr>
              <w:autoSpaceDE w:val="0"/>
              <w:autoSpaceDN w:val="0"/>
              <w:ind w:left="108"/>
              <w:jc w:val="center"/>
              <w:rPr>
                <w:rFonts w:ascii="Times New Roman" w:hAnsi="Times New Roman" w:cs="Times New Roman"/>
                <w:lang w:bidi="zh-CN"/>
              </w:rPr>
            </w:pPr>
          </w:p>
        </w:tc>
        <w:tc>
          <w:tcPr>
            <w:tcW w:w="1410" w:type="dxa"/>
            <w:tcBorders>
              <w:top w:val="single" w:color="auto" w:sz="4" w:space="0"/>
              <w:left w:val="single" w:color="auto" w:sz="4" w:space="0"/>
            </w:tcBorders>
            <w:vAlign w:val="center"/>
          </w:tcPr>
          <w:p w14:paraId="381E3DEA">
            <w:pPr>
              <w:autoSpaceDE w:val="0"/>
              <w:autoSpaceDN w:val="0"/>
              <w:jc w:val="center"/>
              <w:rPr>
                <w:rFonts w:ascii="Times New Roman" w:hAnsi="Times New Roman" w:cs="Times New Roman"/>
                <w:lang w:bidi="zh-CN"/>
              </w:rPr>
            </w:pPr>
          </w:p>
        </w:tc>
        <w:tc>
          <w:tcPr>
            <w:tcW w:w="1021" w:type="dxa"/>
            <w:tcBorders>
              <w:top w:val="single" w:color="auto" w:sz="4" w:space="0"/>
            </w:tcBorders>
            <w:vAlign w:val="center"/>
          </w:tcPr>
          <w:p w14:paraId="7B3A1977">
            <w:pPr>
              <w:autoSpaceDE w:val="0"/>
              <w:autoSpaceDN w:val="0"/>
              <w:jc w:val="center"/>
              <w:rPr>
                <w:rFonts w:ascii="Times New Roman" w:hAnsi="Times New Roman" w:cs="Times New Roman"/>
                <w:lang w:bidi="zh-CN"/>
              </w:rPr>
            </w:pPr>
          </w:p>
        </w:tc>
      </w:tr>
      <w:tr w14:paraId="5BF288B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69" w:hRule="atLeast"/>
        </w:trPr>
        <w:tc>
          <w:tcPr>
            <w:tcW w:w="870" w:type="dxa"/>
            <w:vAlign w:val="center"/>
          </w:tcPr>
          <w:p w14:paraId="519D5D20">
            <w:pPr>
              <w:autoSpaceDE w:val="0"/>
              <w:autoSpaceDN w:val="0"/>
              <w:ind w:left="10"/>
              <w:jc w:val="center"/>
              <w:rPr>
                <w:rFonts w:ascii="Times New Roman" w:hAnsi="Times New Roman" w:cs="Times New Roman"/>
                <w:lang w:eastAsia="en-US" w:bidi="zh-CN"/>
              </w:rPr>
            </w:pPr>
            <w:r>
              <w:rPr>
                <w:rFonts w:ascii="Times New Roman" w:hAnsi="Times New Roman" w:cs="Times New Roman"/>
                <w:lang w:eastAsia="en-US" w:bidi="zh-CN"/>
              </w:rPr>
              <w:t>…</w:t>
            </w:r>
          </w:p>
        </w:tc>
        <w:tc>
          <w:tcPr>
            <w:tcW w:w="2312" w:type="dxa"/>
            <w:vAlign w:val="center"/>
          </w:tcPr>
          <w:p w14:paraId="1D0A85FE">
            <w:pPr>
              <w:autoSpaceDE w:val="0"/>
              <w:autoSpaceDN w:val="0"/>
              <w:ind w:left="5"/>
              <w:jc w:val="center"/>
              <w:rPr>
                <w:rFonts w:ascii="Times New Roman" w:hAnsi="Times New Roman" w:cs="Times New Roman"/>
                <w:lang w:eastAsia="en-US" w:bidi="zh-CN"/>
              </w:rPr>
            </w:pPr>
            <w:r>
              <w:rPr>
                <w:rFonts w:ascii="Times New Roman" w:hAnsi="Times New Roman" w:cs="Times New Roman"/>
                <w:lang w:eastAsia="en-US" w:bidi="zh-CN"/>
              </w:rPr>
              <w:t>…</w:t>
            </w:r>
          </w:p>
        </w:tc>
        <w:tc>
          <w:tcPr>
            <w:tcW w:w="3251" w:type="dxa"/>
            <w:tcBorders>
              <w:right w:val="single" w:color="auto" w:sz="4" w:space="0"/>
            </w:tcBorders>
            <w:vAlign w:val="center"/>
          </w:tcPr>
          <w:p w14:paraId="37C3344B">
            <w:pPr>
              <w:autoSpaceDE w:val="0"/>
              <w:autoSpaceDN w:val="0"/>
              <w:jc w:val="center"/>
              <w:rPr>
                <w:rFonts w:ascii="Times New Roman" w:hAnsi="Times New Roman" w:cs="Times New Roman"/>
                <w:lang w:eastAsia="en-US" w:bidi="zh-CN"/>
              </w:rPr>
            </w:pPr>
            <w:r>
              <w:rPr>
                <w:rFonts w:ascii="Times New Roman" w:hAnsi="Times New Roman" w:cs="Times New Roman"/>
                <w:lang w:eastAsia="en-US" w:bidi="zh-CN"/>
              </w:rPr>
              <w:t>…</w:t>
            </w:r>
          </w:p>
        </w:tc>
        <w:tc>
          <w:tcPr>
            <w:tcW w:w="1410" w:type="dxa"/>
            <w:tcBorders>
              <w:left w:val="single" w:color="auto" w:sz="4" w:space="0"/>
            </w:tcBorders>
            <w:vAlign w:val="center"/>
          </w:tcPr>
          <w:p w14:paraId="56BA04F9">
            <w:pPr>
              <w:autoSpaceDE w:val="0"/>
              <w:autoSpaceDN w:val="0"/>
              <w:jc w:val="center"/>
              <w:rPr>
                <w:rFonts w:ascii="Times New Roman" w:hAnsi="Times New Roman" w:cs="Times New Roman"/>
                <w:lang w:eastAsia="en-US" w:bidi="zh-CN"/>
              </w:rPr>
            </w:pPr>
          </w:p>
        </w:tc>
        <w:tc>
          <w:tcPr>
            <w:tcW w:w="1021" w:type="dxa"/>
            <w:vAlign w:val="center"/>
          </w:tcPr>
          <w:p w14:paraId="395DBB98">
            <w:pPr>
              <w:autoSpaceDE w:val="0"/>
              <w:autoSpaceDN w:val="0"/>
              <w:jc w:val="center"/>
              <w:rPr>
                <w:rFonts w:ascii="Times New Roman" w:hAnsi="Times New Roman" w:cs="Times New Roman"/>
                <w:lang w:eastAsia="en-US" w:bidi="zh-CN"/>
              </w:rPr>
            </w:pPr>
          </w:p>
        </w:tc>
      </w:tr>
      <w:tr w14:paraId="4F9C100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87" w:hRule="atLeast"/>
        </w:trPr>
        <w:tc>
          <w:tcPr>
            <w:tcW w:w="3182" w:type="dxa"/>
            <w:gridSpan w:val="2"/>
            <w:vAlign w:val="center"/>
          </w:tcPr>
          <w:p w14:paraId="0273ADCD">
            <w:pPr>
              <w:autoSpaceDE w:val="0"/>
              <w:autoSpaceDN w:val="0"/>
              <w:spacing w:before="2"/>
              <w:jc w:val="center"/>
              <w:rPr>
                <w:rFonts w:ascii="Times New Roman" w:hAnsi="Times New Roman" w:cs="Times New Roman"/>
                <w:lang w:eastAsia="en-US" w:bidi="zh-CN"/>
              </w:rPr>
            </w:pPr>
            <w:r>
              <w:rPr>
                <w:rFonts w:ascii="Times New Roman" w:hAnsi="Times New Roman" w:cs="Times New Roman"/>
                <w:lang w:bidi="zh-CN"/>
              </w:rPr>
              <w:t>合计</w:t>
            </w:r>
          </w:p>
        </w:tc>
        <w:tc>
          <w:tcPr>
            <w:tcW w:w="5682" w:type="dxa"/>
            <w:gridSpan w:val="3"/>
            <w:vAlign w:val="center"/>
          </w:tcPr>
          <w:p w14:paraId="2ADF325E">
            <w:pPr>
              <w:autoSpaceDE w:val="0"/>
              <w:autoSpaceDN w:val="0"/>
              <w:jc w:val="center"/>
              <w:rPr>
                <w:rFonts w:ascii="Times New Roman" w:hAnsi="Times New Roman" w:cs="Times New Roman"/>
                <w:lang w:eastAsia="en-US" w:bidi="zh-CN"/>
              </w:rPr>
            </w:pPr>
          </w:p>
        </w:tc>
      </w:tr>
    </w:tbl>
    <w:p w14:paraId="311F98C9">
      <w:pPr>
        <w:adjustRightInd w:val="0"/>
        <w:snapToGrid w:val="0"/>
        <w:spacing w:line="300" w:lineRule="auto"/>
        <w:rPr>
          <w:rFonts w:ascii="Times New Roman" w:hAnsi="Times New Roman" w:cs="Times New Roman"/>
          <w:b/>
          <w:szCs w:val="28"/>
        </w:rPr>
      </w:pPr>
      <w:r>
        <w:rPr>
          <w:rFonts w:ascii="Times New Roman" w:hAnsi="Times New Roman" w:cs="Times New Roman"/>
          <w:b/>
          <w:szCs w:val="28"/>
        </w:rPr>
        <w:t xml:space="preserve">    备注:本表根据各</w:t>
      </w:r>
      <w:r>
        <w:rPr>
          <w:rFonts w:hint="eastAsia" w:ascii="Times New Roman" w:hAnsi="Times New Roman" w:cs="Times New Roman"/>
          <w:b/>
          <w:szCs w:val="28"/>
        </w:rPr>
        <w:t>投标</w:t>
      </w:r>
      <w:r>
        <w:rPr>
          <w:rFonts w:ascii="Times New Roman" w:hAnsi="Times New Roman" w:cs="Times New Roman"/>
          <w:b/>
          <w:szCs w:val="28"/>
        </w:rPr>
        <w:t>情况自行扩展。</w:t>
      </w:r>
    </w:p>
    <w:p w14:paraId="2435325C">
      <w:pPr>
        <w:pStyle w:val="109"/>
        <w:rPr>
          <w:rFonts w:ascii="Times New Roman" w:hAnsi="Times New Roman" w:cs="Times New Roman"/>
        </w:rPr>
      </w:pPr>
    </w:p>
    <w:p w14:paraId="27D9B702">
      <w:pPr>
        <w:pStyle w:val="109"/>
        <w:rPr>
          <w:rFonts w:ascii="Times New Roman" w:hAnsi="Times New Roman" w:cs="Times New Roman"/>
        </w:rPr>
      </w:pPr>
    </w:p>
    <w:p w14:paraId="664E9B6B">
      <w:pPr>
        <w:widowControl/>
        <w:rPr>
          <w:rFonts w:asciiTheme="minorEastAsia" w:hAnsiTheme="minorEastAsia" w:eastAsiaTheme="minorEastAsia"/>
          <w:b/>
          <w:bCs/>
          <w:sz w:val="32"/>
          <w:szCs w:val="32"/>
        </w:rPr>
      </w:pPr>
      <w:r>
        <w:rPr>
          <w:rFonts w:asciiTheme="minorEastAsia" w:hAnsiTheme="minorEastAsia" w:eastAsiaTheme="minorEastAsia"/>
          <w:b/>
          <w:bCs/>
          <w:sz w:val="32"/>
          <w:szCs w:val="32"/>
        </w:rPr>
        <w:br w:type="page"/>
      </w:r>
    </w:p>
    <w:p w14:paraId="70AD53F3">
      <w:pPr>
        <w:spacing w:line="300" w:lineRule="auto"/>
        <w:jc w:val="center"/>
        <w:outlineLvl w:val="1"/>
        <w:rPr>
          <w:rFonts w:asciiTheme="minorEastAsia" w:hAnsiTheme="minorEastAsia" w:eastAsiaTheme="minorEastAsia"/>
          <w:b/>
          <w:bCs/>
          <w:sz w:val="32"/>
          <w:szCs w:val="32"/>
        </w:rPr>
      </w:pPr>
      <w:r>
        <w:rPr>
          <w:rFonts w:hint="eastAsia" w:asciiTheme="minorEastAsia" w:hAnsiTheme="minorEastAsia" w:eastAsiaTheme="minorEastAsia"/>
          <w:b/>
          <w:bCs/>
          <w:sz w:val="32"/>
          <w:szCs w:val="32"/>
        </w:rPr>
        <w:t>七、拟投入本项目人员汇总表</w:t>
      </w:r>
    </w:p>
    <w:tbl>
      <w:tblPr>
        <w:tblStyle w:val="23"/>
        <w:tblW w:w="889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75"/>
        <w:gridCol w:w="1240"/>
        <w:gridCol w:w="827"/>
        <w:gridCol w:w="1716"/>
        <w:gridCol w:w="1397"/>
        <w:gridCol w:w="2138"/>
      </w:tblGrid>
      <w:tr w14:paraId="52DE60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5" w:hRule="atLeast"/>
          <w:jc w:val="center"/>
        </w:trPr>
        <w:tc>
          <w:tcPr>
            <w:tcW w:w="1575" w:type="dxa"/>
            <w:vAlign w:val="center"/>
          </w:tcPr>
          <w:p w14:paraId="447A89B0">
            <w:pPr>
              <w:pStyle w:val="130"/>
              <w:spacing w:line="240" w:lineRule="auto"/>
              <w:ind w:firstLine="0" w:firstLineChars="0"/>
              <w:jc w:val="center"/>
              <w:rPr>
                <w:rFonts w:ascii="Times New Roman" w:hAnsi="Times New Roman"/>
                <w:sz w:val="24"/>
                <w:szCs w:val="24"/>
              </w:rPr>
            </w:pPr>
            <w:r>
              <w:rPr>
                <w:rFonts w:ascii="Times New Roman" w:hAnsi="Times New Roman"/>
                <w:sz w:val="24"/>
                <w:szCs w:val="24"/>
              </w:rPr>
              <w:t>人员安排</w:t>
            </w:r>
          </w:p>
        </w:tc>
        <w:tc>
          <w:tcPr>
            <w:tcW w:w="1240" w:type="dxa"/>
            <w:vAlign w:val="center"/>
          </w:tcPr>
          <w:p w14:paraId="2C00FAE2">
            <w:pPr>
              <w:pStyle w:val="130"/>
              <w:spacing w:line="240" w:lineRule="auto"/>
              <w:ind w:firstLine="0" w:firstLineChars="0"/>
              <w:jc w:val="center"/>
              <w:rPr>
                <w:rFonts w:ascii="Times New Roman" w:hAnsi="Times New Roman"/>
                <w:sz w:val="24"/>
                <w:szCs w:val="24"/>
              </w:rPr>
            </w:pPr>
            <w:r>
              <w:rPr>
                <w:rFonts w:ascii="Times New Roman" w:hAnsi="Times New Roman"/>
                <w:sz w:val="24"/>
                <w:szCs w:val="24"/>
              </w:rPr>
              <w:t>姓名</w:t>
            </w:r>
          </w:p>
        </w:tc>
        <w:tc>
          <w:tcPr>
            <w:tcW w:w="827" w:type="dxa"/>
            <w:vAlign w:val="center"/>
          </w:tcPr>
          <w:p w14:paraId="3CA570B1">
            <w:pPr>
              <w:pStyle w:val="130"/>
              <w:spacing w:line="240" w:lineRule="auto"/>
              <w:ind w:firstLine="0" w:firstLineChars="0"/>
              <w:jc w:val="center"/>
              <w:rPr>
                <w:rFonts w:ascii="Times New Roman" w:hAnsi="Times New Roman"/>
                <w:sz w:val="24"/>
                <w:szCs w:val="24"/>
              </w:rPr>
            </w:pPr>
            <w:r>
              <w:rPr>
                <w:rFonts w:ascii="Times New Roman" w:hAnsi="Times New Roman"/>
                <w:sz w:val="24"/>
                <w:szCs w:val="24"/>
              </w:rPr>
              <w:t>性别</w:t>
            </w:r>
          </w:p>
        </w:tc>
        <w:tc>
          <w:tcPr>
            <w:tcW w:w="1716" w:type="dxa"/>
            <w:vAlign w:val="center"/>
          </w:tcPr>
          <w:p w14:paraId="31E0FFCE">
            <w:pPr>
              <w:pStyle w:val="130"/>
              <w:spacing w:line="240" w:lineRule="auto"/>
              <w:ind w:firstLine="0" w:firstLineChars="0"/>
              <w:jc w:val="center"/>
              <w:rPr>
                <w:rFonts w:ascii="Times New Roman" w:hAnsi="Times New Roman"/>
                <w:sz w:val="24"/>
                <w:szCs w:val="24"/>
              </w:rPr>
            </w:pPr>
            <w:r>
              <w:rPr>
                <w:rFonts w:ascii="Times New Roman" w:hAnsi="Times New Roman"/>
                <w:sz w:val="24"/>
                <w:szCs w:val="24"/>
              </w:rPr>
              <w:t>证书及编号</w:t>
            </w:r>
          </w:p>
        </w:tc>
        <w:tc>
          <w:tcPr>
            <w:tcW w:w="1397" w:type="dxa"/>
            <w:vAlign w:val="center"/>
          </w:tcPr>
          <w:p w14:paraId="1FC262F2">
            <w:pPr>
              <w:pStyle w:val="130"/>
              <w:spacing w:line="240" w:lineRule="auto"/>
              <w:ind w:firstLine="0" w:firstLineChars="0"/>
              <w:jc w:val="center"/>
              <w:rPr>
                <w:rFonts w:ascii="Times New Roman" w:hAnsi="Times New Roman"/>
                <w:sz w:val="24"/>
                <w:szCs w:val="24"/>
              </w:rPr>
            </w:pPr>
            <w:r>
              <w:rPr>
                <w:rFonts w:ascii="Times New Roman" w:hAnsi="Times New Roman"/>
                <w:sz w:val="24"/>
                <w:szCs w:val="24"/>
              </w:rPr>
              <w:t>所学专业</w:t>
            </w:r>
          </w:p>
        </w:tc>
        <w:tc>
          <w:tcPr>
            <w:tcW w:w="2138" w:type="dxa"/>
            <w:vAlign w:val="center"/>
          </w:tcPr>
          <w:p w14:paraId="7F5AA0F9">
            <w:pPr>
              <w:pStyle w:val="130"/>
              <w:spacing w:line="240" w:lineRule="auto"/>
              <w:ind w:firstLine="0" w:firstLineChars="0"/>
              <w:jc w:val="center"/>
              <w:rPr>
                <w:rFonts w:ascii="Times New Roman" w:hAnsi="Times New Roman"/>
                <w:sz w:val="24"/>
                <w:szCs w:val="24"/>
              </w:rPr>
            </w:pPr>
            <w:r>
              <w:rPr>
                <w:rFonts w:ascii="Times New Roman" w:hAnsi="Times New Roman"/>
                <w:sz w:val="24"/>
                <w:szCs w:val="24"/>
              </w:rPr>
              <w:t>现任职务及职称</w:t>
            </w:r>
          </w:p>
        </w:tc>
      </w:tr>
      <w:tr w14:paraId="5A14CA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5" w:hRule="atLeast"/>
          <w:jc w:val="center"/>
        </w:trPr>
        <w:tc>
          <w:tcPr>
            <w:tcW w:w="1575" w:type="dxa"/>
            <w:vAlign w:val="center"/>
          </w:tcPr>
          <w:p w14:paraId="381991CC">
            <w:pPr>
              <w:pStyle w:val="130"/>
              <w:spacing w:line="240" w:lineRule="auto"/>
              <w:ind w:firstLine="0" w:firstLineChars="0"/>
              <w:jc w:val="center"/>
              <w:rPr>
                <w:rFonts w:ascii="Times New Roman" w:hAnsi="Times New Roman"/>
                <w:sz w:val="24"/>
                <w:szCs w:val="24"/>
              </w:rPr>
            </w:pPr>
          </w:p>
        </w:tc>
        <w:tc>
          <w:tcPr>
            <w:tcW w:w="1240" w:type="dxa"/>
            <w:vAlign w:val="center"/>
          </w:tcPr>
          <w:p w14:paraId="47FB1C78">
            <w:pPr>
              <w:pStyle w:val="130"/>
              <w:spacing w:line="240" w:lineRule="auto"/>
              <w:ind w:firstLine="0" w:firstLineChars="0"/>
              <w:jc w:val="center"/>
              <w:rPr>
                <w:rFonts w:ascii="Times New Roman" w:hAnsi="Times New Roman"/>
                <w:sz w:val="24"/>
                <w:szCs w:val="24"/>
              </w:rPr>
            </w:pPr>
          </w:p>
        </w:tc>
        <w:tc>
          <w:tcPr>
            <w:tcW w:w="827" w:type="dxa"/>
            <w:vAlign w:val="center"/>
          </w:tcPr>
          <w:p w14:paraId="07800DE0">
            <w:pPr>
              <w:pStyle w:val="130"/>
              <w:spacing w:line="240" w:lineRule="auto"/>
              <w:ind w:firstLine="0" w:firstLineChars="0"/>
              <w:jc w:val="center"/>
              <w:rPr>
                <w:rFonts w:ascii="Times New Roman" w:hAnsi="Times New Roman"/>
                <w:sz w:val="24"/>
                <w:szCs w:val="24"/>
              </w:rPr>
            </w:pPr>
          </w:p>
        </w:tc>
        <w:tc>
          <w:tcPr>
            <w:tcW w:w="1716" w:type="dxa"/>
            <w:vAlign w:val="center"/>
          </w:tcPr>
          <w:p w14:paraId="56A0FB87">
            <w:pPr>
              <w:pStyle w:val="130"/>
              <w:spacing w:line="240" w:lineRule="auto"/>
              <w:ind w:firstLine="0" w:firstLineChars="0"/>
              <w:jc w:val="center"/>
              <w:rPr>
                <w:rFonts w:ascii="Times New Roman" w:hAnsi="Times New Roman"/>
                <w:sz w:val="24"/>
                <w:szCs w:val="24"/>
              </w:rPr>
            </w:pPr>
          </w:p>
        </w:tc>
        <w:tc>
          <w:tcPr>
            <w:tcW w:w="1397" w:type="dxa"/>
            <w:vAlign w:val="center"/>
          </w:tcPr>
          <w:p w14:paraId="78DE49E0">
            <w:pPr>
              <w:pStyle w:val="130"/>
              <w:spacing w:line="240" w:lineRule="auto"/>
              <w:ind w:firstLine="0" w:firstLineChars="0"/>
              <w:jc w:val="center"/>
              <w:rPr>
                <w:rFonts w:ascii="Times New Roman" w:hAnsi="Times New Roman"/>
                <w:sz w:val="24"/>
                <w:szCs w:val="24"/>
              </w:rPr>
            </w:pPr>
          </w:p>
        </w:tc>
        <w:tc>
          <w:tcPr>
            <w:tcW w:w="2138" w:type="dxa"/>
            <w:vAlign w:val="center"/>
          </w:tcPr>
          <w:p w14:paraId="02C4FC6E">
            <w:pPr>
              <w:pStyle w:val="130"/>
              <w:spacing w:line="240" w:lineRule="auto"/>
              <w:ind w:firstLine="0" w:firstLineChars="0"/>
              <w:jc w:val="center"/>
              <w:rPr>
                <w:rFonts w:ascii="Times New Roman" w:hAnsi="Times New Roman"/>
                <w:sz w:val="24"/>
                <w:szCs w:val="24"/>
              </w:rPr>
            </w:pPr>
          </w:p>
        </w:tc>
      </w:tr>
      <w:tr w14:paraId="6E9B26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5" w:hRule="atLeast"/>
          <w:jc w:val="center"/>
        </w:trPr>
        <w:tc>
          <w:tcPr>
            <w:tcW w:w="1575" w:type="dxa"/>
            <w:vAlign w:val="center"/>
          </w:tcPr>
          <w:p w14:paraId="6AB1EEFA">
            <w:pPr>
              <w:pStyle w:val="130"/>
              <w:spacing w:line="240" w:lineRule="auto"/>
              <w:ind w:firstLine="0" w:firstLineChars="0"/>
              <w:jc w:val="center"/>
              <w:rPr>
                <w:rFonts w:ascii="Times New Roman" w:hAnsi="Times New Roman"/>
                <w:sz w:val="24"/>
                <w:szCs w:val="24"/>
              </w:rPr>
            </w:pPr>
          </w:p>
        </w:tc>
        <w:tc>
          <w:tcPr>
            <w:tcW w:w="1240" w:type="dxa"/>
            <w:vAlign w:val="center"/>
          </w:tcPr>
          <w:p w14:paraId="4729E082">
            <w:pPr>
              <w:pStyle w:val="130"/>
              <w:spacing w:line="240" w:lineRule="auto"/>
              <w:ind w:firstLine="0" w:firstLineChars="0"/>
              <w:jc w:val="center"/>
              <w:rPr>
                <w:rFonts w:ascii="Times New Roman" w:hAnsi="Times New Roman"/>
                <w:sz w:val="24"/>
                <w:szCs w:val="24"/>
              </w:rPr>
            </w:pPr>
          </w:p>
        </w:tc>
        <w:tc>
          <w:tcPr>
            <w:tcW w:w="827" w:type="dxa"/>
            <w:vAlign w:val="center"/>
          </w:tcPr>
          <w:p w14:paraId="2C96C673">
            <w:pPr>
              <w:pStyle w:val="130"/>
              <w:spacing w:line="240" w:lineRule="auto"/>
              <w:ind w:firstLine="0" w:firstLineChars="0"/>
              <w:jc w:val="center"/>
              <w:rPr>
                <w:rFonts w:ascii="Times New Roman" w:hAnsi="Times New Roman"/>
                <w:sz w:val="24"/>
                <w:szCs w:val="24"/>
              </w:rPr>
            </w:pPr>
          </w:p>
        </w:tc>
        <w:tc>
          <w:tcPr>
            <w:tcW w:w="1716" w:type="dxa"/>
            <w:vAlign w:val="center"/>
          </w:tcPr>
          <w:p w14:paraId="2F4800D8">
            <w:pPr>
              <w:pStyle w:val="130"/>
              <w:spacing w:line="240" w:lineRule="auto"/>
              <w:ind w:firstLine="0" w:firstLineChars="0"/>
              <w:jc w:val="center"/>
              <w:rPr>
                <w:rFonts w:ascii="Times New Roman" w:hAnsi="Times New Roman"/>
                <w:sz w:val="24"/>
                <w:szCs w:val="24"/>
              </w:rPr>
            </w:pPr>
          </w:p>
        </w:tc>
        <w:tc>
          <w:tcPr>
            <w:tcW w:w="1397" w:type="dxa"/>
            <w:vAlign w:val="center"/>
          </w:tcPr>
          <w:p w14:paraId="78553ADA">
            <w:pPr>
              <w:pStyle w:val="130"/>
              <w:spacing w:line="240" w:lineRule="auto"/>
              <w:ind w:firstLine="0" w:firstLineChars="0"/>
              <w:jc w:val="center"/>
              <w:rPr>
                <w:rFonts w:ascii="Times New Roman" w:hAnsi="Times New Roman"/>
                <w:sz w:val="24"/>
                <w:szCs w:val="24"/>
              </w:rPr>
            </w:pPr>
          </w:p>
        </w:tc>
        <w:tc>
          <w:tcPr>
            <w:tcW w:w="2138" w:type="dxa"/>
            <w:vAlign w:val="center"/>
          </w:tcPr>
          <w:p w14:paraId="78BFBBF9">
            <w:pPr>
              <w:pStyle w:val="130"/>
              <w:spacing w:line="240" w:lineRule="auto"/>
              <w:ind w:firstLine="0" w:firstLineChars="0"/>
              <w:jc w:val="center"/>
              <w:rPr>
                <w:rFonts w:ascii="Times New Roman" w:hAnsi="Times New Roman"/>
                <w:sz w:val="24"/>
                <w:szCs w:val="24"/>
              </w:rPr>
            </w:pPr>
          </w:p>
        </w:tc>
      </w:tr>
      <w:tr w14:paraId="4D7AE6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5" w:hRule="atLeast"/>
          <w:jc w:val="center"/>
        </w:trPr>
        <w:tc>
          <w:tcPr>
            <w:tcW w:w="1575" w:type="dxa"/>
            <w:vAlign w:val="center"/>
          </w:tcPr>
          <w:p w14:paraId="5114B41D">
            <w:pPr>
              <w:pStyle w:val="130"/>
              <w:spacing w:line="240" w:lineRule="auto"/>
              <w:ind w:firstLine="0" w:firstLineChars="0"/>
              <w:jc w:val="center"/>
              <w:rPr>
                <w:rFonts w:ascii="Times New Roman" w:hAnsi="Times New Roman"/>
                <w:sz w:val="24"/>
                <w:szCs w:val="24"/>
              </w:rPr>
            </w:pPr>
          </w:p>
        </w:tc>
        <w:tc>
          <w:tcPr>
            <w:tcW w:w="1240" w:type="dxa"/>
            <w:vAlign w:val="center"/>
          </w:tcPr>
          <w:p w14:paraId="224E8AB0">
            <w:pPr>
              <w:pStyle w:val="130"/>
              <w:spacing w:line="240" w:lineRule="auto"/>
              <w:ind w:firstLine="0" w:firstLineChars="0"/>
              <w:jc w:val="center"/>
              <w:rPr>
                <w:rFonts w:ascii="Times New Roman" w:hAnsi="Times New Roman"/>
                <w:sz w:val="24"/>
                <w:szCs w:val="24"/>
              </w:rPr>
            </w:pPr>
          </w:p>
        </w:tc>
        <w:tc>
          <w:tcPr>
            <w:tcW w:w="827" w:type="dxa"/>
            <w:vAlign w:val="center"/>
          </w:tcPr>
          <w:p w14:paraId="3A2B46B9">
            <w:pPr>
              <w:pStyle w:val="130"/>
              <w:spacing w:line="240" w:lineRule="auto"/>
              <w:ind w:firstLine="0" w:firstLineChars="0"/>
              <w:jc w:val="center"/>
              <w:rPr>
                <w:rFonts w:ascii="Times New Roman" w:hAnsi="Times New Roman"/>
                <w:sz w:val="24"/>
                <w:szCs w:val="24"/>
              </w:rPr>
            </w:pPr>
          </w:p>
        </w:tc>
        <w:tc>
          <w:tcPr>
            <w:tcW w:w="1716" w:type="dxa"/>
            <w:vAlign w:val="center"/>
          </w:tcPr>
          <w:p w14:paraId="2944F74F">
            <w:pPr>
              <w:pStyle w:val="130"/>
              <w:spacing w:line="240" w:lineRule="auto"/>
              <w:ind w:firstLine="0" w:firstLineChars="0"/>
              <w:jc w:val="center"/>
              <w:rPr>
                <w:rFonts w:ascii="Times New Roman" w:hAnsi="Times New Roman"/>
                <w:sz w:val="24"/>
                <w:szCs w:val="24"/>
              </w:rPr>
            </w:pPr>
          </w:p>
        </w:tc>
        <w:tc>
          <w:tcPr>
            <w:tcW w:w="1397" w:type="dxa"/>
            <w:vAlign w:val="center"/>
          </w:tcPr>
          <w:p w14:paraId="55D04BD8">
            <w:pPr>
              <w:pStyle w:val="130"/>
              <w:spacing w:line="240" w:lineRule="auto"/>
              <w:ind w:firstLine="0" w:firstLineChars="0"/>
              <w:jc w:val="center"/>
              <w:rPr>
                <w:rFonts w:ascii="Times New Roman" w:hAnsi="Times New Roman"/>
                <w:sz w:val="24"/>
                <w:szCs w:val="24"/>
              </w:rPr>
            </w:pPr>
          </w:p>
        </w:tc>
        <w:tc>
          <w:tcPr>
            <w:tcW w:w="2138" w:type="dxa"/>
            <w:vAlign w:val="center"/>
          </w:tcPr>
          <w:p w14:paraId="32FA7583">
            <w:pPr>
              <w:pStyle w:val="130"/>
              <w:spacing w:line="240" w:lineRule="auto"/>
              <w:ind w:firstLine="0" w:firstLineChars="0"/>
              <w:jc w:val="center"/>
              <w:rPr>
                <w:rFonts w:ascii="Times New Roman" w:hAnsi="Times New Roman"/>
                <w:sz w:val="24"/>
                <w:szCs w:val="24"/>
              </w:rPr>
            </w:pPr>
          </w:p>
        </w:tc>
      </w:tr>
      <w:tr w14:paraId="14FBE9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5" w:hRule="atLeast"/>
          <w:jc w:val="center"/>
        </w:trPr>
        <w:tc>
          <w:tcPr>
            <w:tcW w:w="1575" w:type="dxa"/>
            <w:vAlign w:val="center"/>
          </w:tcPr>
          <w:p w14:paraId="7EE89F86">
            <w:pPr>
              <w:pStyle w:val="130"/>
              <w:spacing w:line="240" w:lineRule="auto"/>
              <w:ind w:firstLine="0" w:firstLineChars="0"/>
              <w:jc w:val="center"/>
              <w:rPr>
                <w:rFonts w:ascii="Times New Roman" w:hAnsi="Times New Roman"/>
                <w:sz w:val="24"/>
                <w:szCs w:val="24"/>
              </w:rPr>
            </w:pPr>
          </w:p>
        </w:tc>
        <w:tc>
          <w:tcPr>
            <w:tcW w:w="1240" w:type="dxa"/>
            <w:vAlign w:val="center"/>
          </w:tcPr>
          <w:p w14:paraId="3D3CC347">
            <w:pPr>
              <w:pStyle w:val="130"/>
              <w:spacing w:line="240" w:lineRule="auto"/>
              <w:ind w:firstLine="0" w:firstLineChars="0"/>
              <w:jc w:val="center"/>
              <w:rPr>
                <w:rFonts w:ascii="Times New Roman" w:hAnsi="Times New Roman"/>
                <w:sz w:val="24"/>
                <w:szCs w:val="24"/>
              </w:rPr>
            </w:pPr>
          </w:p>
        </w:tc>
        <w:tc>
          <w:tcPr>
            <w:tcW w:w="827" w:type="dxa"/>
            <w:vAlign w:val="center"/>
          </w:tcPr>
          <w:p w14:paraId="5F1C4E56">
            <w:pPr>
              <w:pStyle w:val="130"/>
              <w:spacing w:line="240" w:lineRule="auto"/>
              <w:ind w:firstLine="0" w:firstLineChars="0"/>
              <w:jc w:val="center"/>
              <w:rPr>
                <w:rFonts w:ascii="Times New Roman" w:hAnsi="Times New Roman"/>
                <w:sz w:val="24"/>
                <w:szCs w:val="24"/>
              </w:rPr>
            </w:pPr>
          </w:p>
        </w:tc>
        <w:tc>
          <w:tcPr>
            <w:tcW w:w="1716" w:type="dxa"/>
            <w:vAlign w:val="center"/>
          </w:tcPr>
          <w:p w14:paraId="5BF62763">
            <w:pPr>
              <w:pStyle w:val="130"/>
              <w:spacing w:line="240" w:lineRule="auto"/>
              <w:ind w:firstLine="0" w:firstLineChars="0"/>
              <w:jc w:val="center"/>
              <w:rPr>
                <w:rFonts w:ascii="Times New Roman" w:hAnsi="Times New Roman"/>
                <w:sz w:val="24"/>
                <w:szCs w:val="24"/>
              </w:rPr>
            </w:pPr>
          </w:p>
        </w:tc>
        <w:tc>
          <w:tcPr>
            <w:tcW w:w="1397" w:type="dxa"/>
            <w:vAlign w:val="center"/>
          </w:tcPr>
          <w:p w14:paraId="0D51DB42">
            <w:pPr>
              <w:pStyle w:val="130"/>
              <w:spacing w:line="240" w:lineRule="auto"/>
              <w:ind w:firstLine="0" w:firstLineChars="0"/>
              <w:jc w:val="center"/>
              <w:rPr>
                <w:rFonts w:ascii="Times New Roman" w:hAnsi="Times New Roman"/>
                <w:sz w:val="24"/>
                <w:szCs w:val="24"/>
              </w:rPr>
            </w:pPr>
          </w:p>
        </w:tc>
        <w:tc>
          <w:tcPr>
            <w:tcW w:w="2138" w:type="dxa"/>
            <w:vAlign w:val="center"/>
          </w:tcPr>
          <w:p w14:paraId="185521BC">
            <w:pPr>
              <w:pStyle w:val="130"/>
              <w:spacing w:line="240" w:lineRule="auto"/>
              <w:ind w:firstLine="0" w:firstLineChars="0"/>
              <w:jc w:val="center"/>
              <w:rPr>
                <w:rFonts w:ascii="Times New Roman" w:hAnsi="Times New Roman"/>
                <w:sz w:val="24"/>
                <w:szCs w:val="24"/>
              </w:rPr>
            </w:pPr>
          </w:p>
        </w:tc>
      </w:tr>
      <w:tr w14:paraId="7F8146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5" w:hRule="atLeast"/>
          <w:jc w:val="center"/>
        </w:trPr>
        <w:tc>
          <w:tcPr>
            <w:tcW w:w="1575" w:type="dxa"/>
            <w:vAlign w:val="center"/>
          </w:tcPr>
          <w:p w14:paraId="1F4B52D8">
            <w:pPr>
              <w:pStyle w:val="130"/>
              <w:spacing w:line="240" w:lineRule="auto"/>
              <w:ind w:firstLine="0" w:firstLineChars="0"/>
              <w:jc w:val="center"/>
              <w:rPr>
                <w:rFonts w:ascii="Times New Roman" w:hAnsi="Times New Roman"/>
                <w:sz w:val="24"/>
                <w:szCs w:val="24"/>
              </w:rPr>
            </w:pPr>
          </w:p>
        </w:tc>
        <w:tc>
          <w:tcPr>
            <w:tcW w:w="1240" w:type="dxa"/>
            <w:vAlign w:val="center"/>
          </w:tcPr>
          <w:p w14:paraId="27B5DF18">
            <w:pPr>
              <w:pStyle w:val="130"/>
              <w:spacing w:line="240" w:lineRule="auto"/>
              <w:ind w:firstLine="0" w:firstLineChars="0"/>
              <w:jc w:val="center"/>
              <w:rPr>
                <w:rFonts w:ascii="Times New Roman" w:hAnsi="Times New Roman"/>
                <w:sz w:val="24"/>
                <w:szCs w:val="24"/>
              </w:rPr>
            </w:pPr>
          </w:p>
        </w:tc>
        <w:tc>
          <w:tcPr>
            <w:tcW w:w="827" w:type="dxa"/>
            <w:vAlign w:val="center"/>
          </w:tcPr>
          <w:p w14:paraId="073C5F28">
            <w:pPr>
              <w:pStyle w:val="130"/>
              <w:spacing w:line="240" w:lineRule="auto"/>
              <w:ind w:firstLine="0" w:firstLineChars="0"/>
              <w:jc w:val="center"/>
              <w:rPr>
                <w:rFonts w:ascii="Times New Roman" w:hAnsi="Times New Roman"/>
                <w:sz w:val="24"/>
                <w:szCs w:val="24"/>
              </w:rPr>
            </w:pPr>
          </w:p>
        </w:tc>
        <w:tc>
          <w:tcPr>
            <w:tcW w:w="1716" w:type="dxa"/>
            <w:vAlign w:val="center"/>
          </w:tcPr>
          <w:p w14:paraId="321B474A">
            <w:pPr>
              <w:pStyle w:val="130"/>
              <w:spacing w:line="240" w:lineRule="auto"/>
              <w:ind w:firstLine="0" w:firstLineChars="0"/>
              <w:jc w:val="center"/>
              <w:rPr>
                <w:rFonts w:ascii="Times New Roman" w:hAnsi="Times New Roman"/>
                <w:sz w:val="24"/>
                <w:szCs w:val="24"/>
              </w:rPr>
            </w:pPr>
          </w:p>
        </w:tc>
        <w:tc>
          <w:tcPr>
            <w:tcW w:w="1397" w:type="dxa"/>
            <w:vAlign w:val="center"/>
          </w:tcPr>
          <w:p w14:paraId="5B8ABFD7">
            <w:pPr>
              <w:pStyle w:val="130"/>
              <w:spacing w:line="240" w:lineRule="auto"/>
              <w:ind w:firstLine="0" w:firstLineChars="0"/>
              <w:jc w:val="center"/>
              <w:rPr>
                <w:rFonts w:ascii="Times New Roman" w:hAnsi="Times New Roman"/>
                <w:sz w:val="24"/>
                <w:szCs w:val="24"/>
              </w:rPr>
            </w:pPr>
          </w:p>
        </w:tc>
        <w:tc>
          <w:tcPr>
            <w:tcW w:w="2138" w:type="dxa"/>
            <w:vAlign w:val="center"/>
          </w:tcPr>
          <w:p w14:paraId="74EE92C3">
            <w:pPr>
              <w:pStyle w:val="130"/>
              <w:spacing w:line="240" w:lineRule="auto"/>
              <w:ind w:firstLine="0" w:firstLineChars="0"/>
              <w:jc w:val="center"/>
              <w:rPr>
                <w:rFonts w:ascii="Times New Roman" w:hAnsi="Times New Roman"/>
                <w:sz w:val="24"/>
                <w:szCs w:val="24"/>
              </w:rPr>
            </w:pPr>
          </w:p>
        </w:tc>
      </w:tr>
      <w:tr w14:paraId="49A407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5" w:hRule="atLeast"/>
          <w:jc w:val="center"/>
        </w:trPr>
        <w:tc>
          <w:tcPr>
            <w:tcW w:w="1575" w:type="dxa"/>
            <w:vAlign w:val="center"/>
          </w:tcPr>
          <w:p w14:paraId="1D6BA95E">
            <w:pPr>
              <w:pStyle w:val="130"/>
              <w:spacing w:line="240" w:lineRule="auto"/>
              <w:ind w:firstLine="0" w:firstLineChars="0"/>
              <w:jc w:val="center"/>
              <w:rPr>
                <w:rFonts w:ascii="Times New Roman" w:hAnsi="Times New Roman"/>
                <w:sz w:val="24"/>
                <w:szCs w:val="24"/>
              </w:rPr>
            </w:pPr>
          </w:p>
        </w:tc>
        <w:tc>
          <w:tcPr>
            <w:tcW w:w="1240" w:type="dxa"/>
            <w:vAlign w:val="center"/>
          </w:tcPr>
          <w:p w14:paraId="464D451A">
            <w:pPr>
              <w:pStyle w:val="130"/>
              <w:spacing w:line="240" w:lineRule="auto"/>
              <w:ind w:firstLine="0" w:firstLineChars="0"/>
              <w:jc w:val="center"/>
              <w:rPr>
                <w:rFonts w:ascii="Times New Roman" w:hAnsi="Times New Roman"/>
                <w:sz w:val="24"/>
                <w:szCs w:val="24"/>
              </w:rPr>
            </w:pPr>
          </w:p>
        </w:tc>
        <w:tc>
          <w:tcPr>
            <w:tcW w:w="827" w:type="dxa"/>
            <w:vAlign w:val="center"/>
          </w:tcPr>
          <w:p w14:paraId="1D60DB00">
            <w:pPr>
              <w:pStyle w:val="130"/>
              <w:spacing w:line="240" w:lineRule="auto"/>
              <w:ind w:firstLine="0" w:firstLineChars="0"/>
              <w:jc w:val="center"/>
              <w:rPr>
                <w:rFonts w:ascii="Times New Roman" w:hAnsi="Times New Roman"/>
                <w:sz w:val="24"/>
                <w:szCs w:val="24"/>
              </w:rPr>
            </w:pPr>
          </w:p>
        </w:tc>
        <w:tc>
          <w:tcPr>
            <w:tcW w:w="1716" w:type="dxa"/>
            <w:vAlign w:val="center"/>
          </w:tcPr>
          <w:p w14:paraId="27BE5FB3">
            <w:pPr>
              <w:pStyle w:val="130"/>
              <w:spacing w:line="240" w:lineRule="auto"/>
              <w:ind w:firstLine="0" w:firstLineChars="0"/>
              <w:jc w:val="center"/>
              <w:rPr>
                <w:rFonts w:ascii="Times New Roman" w:hAnsi="Times New Roman"/>
                <w:sz w:val="24"/>
                <w:szCs w:val="24"/>
              </w:rPr>
            </w:pPr>
          </w:p>
        </w:tc>
        <w:tc>
          <w:tcPr>
            <w:tcW w:w="1397" w:type="dxa"/>
            <w:vAlign w:val="center"/>
          </w:tcPr>
          <w:p w14:paraId="4D6A218E">
            <w:pPr>
              <w:pStyle w:val="130"/>
              <w:spacing w:line="240" w:lineRule="auto"/>
              <w:ind w:firstLine="0" w:firstLineChars="0"/>
              <w:jc w:val="center"/>
              <w:rPr>
                <w:rFonts w:ascii="Times New Roman" w:hAnsi="Times New Roman"/>
                <w:sz w:val="24"/>
                <w:szCs w:val="24"/>
              </w:rPr>
            </w:pPr>
          </w:p>
        </w:tc>
        <w:tc>
          <w:tcPr>
            <w:tcW w:w="2138" w:type="dxa"/>
            <w:vAlign w:val="center"/>
          </w:tcPr>
          <w:p w14:paraId="7B962205">
            <w:pPr>
              <w:pStyle w:val="130"/>
              <w:spacing w:line="240" w:lineRule="auto"/>
              <w:ind w:firstLine="0" w:firstLineChars="0"/>
              <w:jc w:val="center"/>
              <w:rPr>
                <w:rFonts w:ascii="Times New Roman" w:hAnsi="Times New Roman"/>
                <w:sz w:val="24"/>
                <w:szCs w:val="24"/>
              </w:rPr>
            </w:pPr>
          </w:p>
        </w:tc>
      </w:tr>
      <w:tr w14:paraId="1F9C55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5" w:hRule="atLeast"/>
          <w:jc w:val="center"/>
        </w:trPr>
        <w:tc>
          <w:tcPr>
            <w:tcW w:w="1575" w:type="dxa"/>
            <w:vAlign w:val="center"/>
          </w:tcPr>
          <w:p w14:paraId="34AFC45C">
            <w:pPr>
              <w:pStyle w:val="130"/>
              <w:spacing w:line="240" w:lineRule="auto"/>
              <w:ind w:firstLine="0" w:firstLineChars="0"/>
              <w:jc w:val="center"/>
              <w:rPr>
                <w:rFonts w:ascii="Times New Roman" w:hAnsi="Times New Roman"/>
                <w:sz w:val="24"/>
                <w:szCs w:val="24"/>
              </w:rPr>
            </w:pPr>
          </w:p>
        </w:tc>
        <w:tc>
          <w:tcPr>
            <w:tcW w:w="1240" w:type="dxa"/>
            <w:vAlign w:val="center"/>
          </w:tcPr>
          <w:p w14:paraId="560CC534">
            <w:pPr>
              <w:pStyle w:val="130"/>
              <w:spacing w:line="240" w:lineRule="auto"/>
              <w:ind w:firstLine="0" w:firstLineChars="0"/>
              <w:jc w:val="center"/>
              <w:rPr>
                <w:rFonts w:ascii="Times New Roman" w:hAnsi="Times New Roman"/>
                <w:sz w:val="24"/>
                <w:szCs w:val="24"/>
              </w:rPr>
            </w:pPr>
          </w:p>
        </w:tc>
        <w:tc>
          <w:tcPr>
            <w:tcW w:w="827" w:type="dxa"/>
            <w:vAlign w:val="center"/>
          </w:tcPr>
          <w:p w14:paraId="42F6362E">
            <w:pPr>
              <w:pStyle w:val="130"/>
              <w:spacing w:line="240" w:lineRule="auto"/>
              <w:ind w:firstLine="0" w:firstLineChars="0"/>
              <w:jc w:val="center"/>
              <w:rPr>
                <w:rFonts w:ascii="Times New Roman" w:hAnsi="Times New Roman"/>
                <w:sz w:val="24"/>
                <w:szCs w:val="24"/>
              </w:rPr>
            </w:pPr>
          </w:p>
        </w:tc>
        <w:tc>
          <w:tcPr>
            <w:tcW w:w="1716" w:type="dxa"/>
            <w:vAlign w:val="center"/>
          </w:tcPr>
          <w:p w14:paraId="7A8957D4">
            <w:pPr>
              <w:pStyle w:val="130"/>
              <w:spacing w:line="240" w:lineRule="auto"/>
              <w:ind w:firstLine="0" w:firstLineChars="0"/>
              <w:jc w:val="center"/>
              <w:rPr>
                <w:rFonts w:ascii="Times New Roman" w:hAnsi="Times New Roman"/>
                <w:sz w:val="24"/>
                <w:szCs w:val="24"/>
              </w:rPr>
            </w:pPr>
          </w:p>
        </w:tc>
        <w:tc>
          <w:tcPr>
            <w:tcW w:w="1397" w:type="dxa"/>
            <w:vAlign w:val="center"/>
          </w:tcPr>
          <w:p w14:paraId="01FB470C">
            <w:pPr>
              <w:pStyle w:val="130"/>
              <w:spacing w:line="240" w:lineRule="auto"/>
              <w:ind w:firstLine="0" w:firstLineChars="0"/>
              <w:jc w:val="center"/>
              <w:rPr>
                <w:rFonts w:ascii="Times New Roman" w:hAnsi="Times New Roman"/>
                <w:sz w:val="24"/>
                <w:szCs w:val="24"/>
              </w:rPr>
            </w:pPr>
          </w:p>
        </w:tc>
        <w:tc>
          <w:tcPr>
            <w:tcW w:w="2138" w:type="dxa"/>
            <w:vAlign w:val="center"/>
          </w:tcPr>
          <w:p w14:paraId="1FE1418C">
            <w:pPr>
              <w:pStyle w:val="130"/>
              <w:spacing w:line="240" w:lineRule="auto"/>
              <w:ind w:firstLine="0" w:firstLineChars="0"/>
              <w:jc w:val="center"/>
              <w:rPr>
                <w:rFonts w:ascii="Times New Roman" w:hAnsi="Times New Roman"/>
                <w:sz w:val="24"/>
                <w:szCs w:val="24"/>
              </w:rPr>
            </w:pPr>
          </w:p>
        </w:tc>
      </w:tr>
      <w:tr w14:paraId="4D2885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5" w:hRule="atLeast"/>
          <w:jc w:val="center"/>
        </w:trPr>
        <w:tc>
          <w:tcPr>
            <w:tcW w:w="1575" w:type="dxa"/>
            <w:vAlign w:val="center"/>
          </w:tcPr>
          <w:p w14:paraId="4B871975">
            <w:pPr>
              <w:pStyle w:val="130"/>
              <w:spacing w:line="240" w:lineRule="auto"/>
              <w:ind w:firstLine="0" w:firstLineChars="0"/>
              <w:jc w:val="center"/>
              <w:rPr>
                <w:rFonts w:ascii="Times New Roman" w:hAnsi="Times New Roman"/>
                <w:sz w:val="24"/>
                <w:szCs w:val="24"/>
              </w:rPr>
            </w:pPr>
          </w:p>
        </w:tc>
        <w:tc>
          <w:tcPr>
            <w:tcW w:w="1240" w:type="dxa"/>
            <w:vAlign w:val="center"/>
          </w:tcPr>
          <w:p w14:paraId="18E880F0">
            <w:pPr>
              <w:pStyle w:val="130"/>
              <w:spacing w:line="240" w:lineRule="auto"/>
              <w:ind w:firstLine="0" w:firstLineChars="0"/>
              <w:jc w:val="center"/>
              <w:rPr>
                <w:rFonts w:ascii="Times New Roman" w:hAnsi="Times New Roman"/>
                <w:sz w:val="24"/>
                <w:szCs w:val="24"/>
              </w:rPr>
            </w:pPr>
          </w:p>
        </w:tc>
        <w:tc>
          <w:tcPr>
            <w:tcW w:w="827" w:type="dxa"/>
            <w:vAlign w:val="center"/>
          </w:tcPr>
          <w:p w14:paraId="2AA72C17">
            <w:pPr>
              <w:pStyle w:val="130"/>
              <w:spacing w:line="240" w:lineRule="auto"/>
              <w:ind w:firstLine="0" w:firstLineChars="0"/>
              <w:jc w:val="center"/>
              <w:rPr>
                <w:rFonts w:ascii="Times New Roman" w:hAnsi="Times New Roman"/>
                <w:sz w:val="24"/>
                <w:szCs w:val="24"/>
              </w:rPr>
            </w:pPr>
          </w:p>
        </w:tc>
        <w:tc>
          <w:tcPr>
            <w:tcW w:w="1716" w:type="dxa"/>
            <w:vAlign w:val="center"/>
          </w:tcPr>
          <w:p w14:paraId="6A532AF8">
            <w:pPr>
              <w:pStyle w:val="130"/>
              <w:spacing w:line="240" w:lineRule="auto"/>
              <w:ind w:firstLine="0" w:firstLineChars="0"/>
              <w:jc w:val="center"/>
              <w:rPr>
                <w:rFonts w:ascii="Times New Roman" w:hAnsi="Times New Roman"/>
                <w:sz w:val="24"/>
                <w:szCs w:val="24"/>
              </w:rPr>
            </w:pPr>
          </w:p>
        </w:tc>
        <w:tc>
          <w:tcPr>
            <w:tcW w:w="1397" w:type="dxa"/>
            <w:vAlign w:val="center"/>
          </w:tcPr>
          <w:p w14:paraId="13A46A47">
            <w:pPr>
              <w:pStyle w:val="130"/>
              <w:spacing w:line="240" w:lineRule="auto"/>
              <w:ind w:firstLine="0" w:firstLineChars="0"/>
              <w:jc w:val="center"/>
              <w:rPr>
                <w:rFonts w:ascii="Times New Roman" w:hAnsi="Times New Roman"/>
                <w:sz w:val="24"/>
                <w:szCs w:val="24"/>
              </w:rPr>
            </w:pPr>
          </w:p>
        </w:tc>
        <w:tc>
          <w:tcPr>
            <w:tcW w:w="2138" w:type="dxa"/>
            <w:vAlign w:val="center"/>
          </w:tcPr>
          <w:p w14:paraId="258DD4C6">
            <w:pPr>
              <w:pStyle w:val="130"/>
              <w:spacing w:line="240" w:lineRule="auto"/>
              <w:ind w:firstLine="0" w:firstLineChars="0"/>
              <w:jc w:val="center"/>
              <w:rPr>
                <w:rFonts w:ascii="Times New Roman" w:hAnsi="Times New Roman"/>
                <w:sz w:val="24"/>
                <w:szCs w:val="24"/>
              </w:rPr>
            </w:pPr>
          </w:p>
        </w:tc>
      </w:tr>
      <w:tr w14:paraId="6D1615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5" w:hRule="atLeast"/>
          <w:jc w:val="center"/>
        </w:trPr>
        <w:tc>
          <w:tcPr>
            <w:tcW w:w="1575" w:type="dxa"/>
            <w:vAlign w:val="center"/>
          </w:tcPr>
          <w:p w14:paraId="2696439D">
            <w:pPr>
              <w:pStyle w:val="130"/>
              <w:spacing w:line="240" w:lineRule="auto"/>
              <w:ind w:firstLine="0" w:firstLineChars="0"/>
              <w:jc w:val="center"/>
              <w:rPr>
                <w:rFonts w:ascii="Times New Roman" w:hAnsi="Times New Roman"/>
                <w:sz w:val="24"/>
                <w:szCs w:val="24"/>
              </w:rPr>
            </w:pPr>
          </w:p>
        </w:tc>
        <w:tc>
          <w:tcPr>
            <w:tcW w:w="1240" w:type="dxa"/>
            <w:vAlign w:val="center"/>
          </w:tcPr>
          <w:p w14:paraId="6DAC95C8">
            <w:pPr>
              <w:pStyle w:val="130"/>
              <w:spacing w:line="240" w:lineRule="auto"/>
              <w:ind w:firstLine="0" w:firstLineChars="0"/>
              <w:jc w:val="center"/>
              <w:rPr>
                <w:rFonts w:ascii="Times New Roman" w:hAnsi="Times New Roman"/>
                <w:sz w:val="24"/>
                <w:szCs w:val="24"/>
              </w:rPr>
            </w:pPr>
          </w:p>
        </w:tc>
        <w:tc>
          <w:tcPr>
            <w:tcW w:w="827" w:type="dxa"/>
            <w:vAlign w:val="center"/>
          </w:tcPr>
          <w:p w14:paraId="10FAF8E5">
            <w:pPr>
              <w:pStyle w:val="130"/>
              <w:spacing w:line="240" w:lineRule="auto"/>
              <w:ind w:firstLine="0" w:firstLineChars="0"/>
              <w:jc w:val="center"/>
              <w:rPr>
                <w:rFonts w:ascii="Times New Roman" w:hAnsi="Times New Roman"/>
                <w:sz w:val="24"/>
                <w:szCs w:val="24"/>
              </w:rPr>
            </w:pPr>
          </w:p>
        </w:tc>
        <w:tc>
          <w:tcPr>
            <w:tcW w:w="1716" w:type="dxa"/>
            <w:vAlign w:val="center"/>
          </w:tcPr>
          <w:p w14:paraId="072B1793">
            <w:pPr>
              <w:pStyle w:val="130"/>
              <w:spacing w:line="240" w:lineRule="auto"/>
              <w:ind w:firstLine="0" w:firstLineChars="0"/>
              <w:jc w:val="center"/>
              <w:rPr>
                <w:rFonts w:ascii="Times New Roman" w:hAnsi="Times New Roman"/>
                <w:sz w:val="24"/>
                <w:szCs w:val="24"/>
              </w:rPr>
            </w:pPr>
          </w:p>
        </w:tc>
        <w:tc>
          <w:tcPr>
            <w:tcW w:w="1397" w:type="dxa"/>
            <w:vAlign w:val="center"/>
          </w:tcPr>
          <w:p w14:paraId="1B342697">
            <w:pPr>
              <w:pStyle w:val="130"/>
              <w:spacing w:line="240" w:lineRule="auto"/>
              <w:ind w:firstLine="0" w:firstLineChars="0"/>
              <w:jc w:val="center"/>
              <w:rPr>
                <w:rFonts w:ascii="Times New Roman" w:hAnsi="Times New Roman"/>
                <w:sz w:val="24"/>
                <w:szCs w:val="24"/>
              </w:rPr>
            </w:pPr>
          </w:p>
        </w:tc>
        <w:tc>
          <w:tcPr>
            <w:tcW w:w="2138" w:type="dxa"/>
            <w:vAlign w:val="center"/>
          </w:tcPr>
          <w:p w14:paraId="3AB92D92">
            <w:pPr>
              <w:pStyle w:val="130"/>
              <w:spacing w:line="240" w:lineRule="auto"/>
              <w:ind w:firstLine="0" w:firstLineChars="0"/>
              <w:jc w:val="center"/>
              <w:rPr>
                <w:rFonts w:ascii="Times New Roman" w:hAnsi="Times New Roman"/>
                <w:sz w:val="24"/>
                <w:szCs w:val="24"/>
              </w:rPr>
            </w:pPr>
          </w:p>
        </w:tc>
      </w:tr>
    </w:tbl>
    <w:p w14:paraId="03364E37">
      <w:pPr>
        <w:spacing w:line="500" w:lineRule="exact"/>
        <w:rPr>
          <w:rFonts w:ascii="Times New Roman" w:hAnsi="Times New Roman" w:cs="Times New Roman"/>
          <w:bCs/>
        </w:rPr>
      </w:pPr>
    </w:p>
    <w:p w14:paraId="55634DC0">
      <w:pPr>
        <w:spacing w:line="500" w:lineRule="exact"/>
        <w:rPr>
          <w:rFonts w:ascii="Times New Roman" w:hAnsi="Times New Roman" w:cs="Times New Roman"/>
          <w:bCs/>
        </w:rPr>
      </w:pPr>
      <w:r>
        <w:rPr>
          <w:rFonts w:ascii="Times New Roman" w:hAnsi="Times New Roman" w:cs="Times New Roman"/>
          <w:bCs/>
        </w:rPr>
        <w:t>授权代表（签字）：</w:t>
      </w:r>
    </w:p>
    <w:p w14:paraId="5DAA9A50">
      <w:pPr>
        <w:spacing w:line="500" w:lineRule="exact"/>
        <w:rPr>
          <w:rFonts w:ascii="Times New Roman" w:hAnsi="Times New Roman" w:cs="Times New Roman"/>
          <w:bCs/>
        </w:rPr>
      </w:pPr>
      <w:r>
        <w:rPr>
          <w:rFonts w:ascii="Times New Roman" w:hAnsi="Times New Roman" w:cs="Times New Roman"/>
          <w:bCs/>
        </w:rPr>
        <w:t>报价单位（单位公章）：</w:t>
      </w:r>
    </w:p>
    <w:p w14:paraId="74EEDE8E">
      <w:pPr>
        <w:spacing w:line="500" w:lineRule="exact"/>
        <w:rPr>
          <w:rFonts w:ascii="Times New Roman" w:hAnsi="Times New Roman" w:cs="Times New Roman"/>
          <w:bCs/>
        </w:rPr>
      </w:pPr>
      <w:r>
        <w:rPr>
          <w:rFonts w:ascii="Times New Roman" w:hAnsi="Times New Roman" w:cs="Times New Roman"/>
          <w:bCs/>
        </w:rPr>
        <w:t>日期：</w:t>
      </w:r>
    </w:p>
    <w:p w14:paraId="0ADCD238">
      <w:pPr>
        <w:pStyle w:val="22"/>
        <w:ind w:left="480" w:firstLine="480"/>
        <w:rPr>
          <w:rFonts w:ascii="Times New Roman" w:hAnsi="Times New Roman" w:cs="Times New Roman"/>
        </w:rPr>
      </w:pPr>
    </w:p>
    <w:p w14:paraId="54795FB8">
      <w:pPr>
        <w:topLinePunct/>
        <w:spacing w:line="460" w:lineRule="exact"/>
        <w:jc w:val="center"/>
        <w:rPr>
          <w:rFonts w:ascii="Times New Roman" w:hAnsi="Times New Roman" w:cs="Times New Roman"/>
          <w:b/>
          <w:bCs/>
          <w:kern w:val="44"/>
          <w:sz w:val="32"/>
          <w:szCs w:val="32"/>
        </w:rPr>
      </w:pPr>
      <w:r>
        <w:rPr>
          <w:rFonts w:ascii="Times New Roman" w:hAnsi="Times New Roman" w:cs="Times New Roman"/>
          <w:b/>
          <w:bCs/>
          <w:kern w:val="44"/>
          <w:sz w:val="32"/>
          <w:szCs w:val="32"/>
        </w:rPr>
        <w:t>拟委任</w:t>
      </w:r>
      <w:r>
        <w:rPr>
          <w:rFonts w:hint="eastAsia" w:ascii="Times New Roman" w:hAnsi="Times New Roman" w:cs="Times New Roman"/>
          <w:b/>
          <w:bCs/>
          <w:kern w:val="44"/>
          <w:sz w:val="32"/>
          <w:szCs w:val="32"/>
        </w:rPr>
        <w:t>总监理工程师</w:t>
      </w:r>
      <w:r>
        <w:rPr>
          <w:rFonts w:ascii="Times New Roman" w:hAnsi="Times New Roman" w:cs="Times New Roman"/>
          <w:b/>
          <w:bCs/>
          <w:kern w:val="44"/>
          <w:sz w:val="32"/>
          <w:szCs w:val="32"/>
        </w:rPr>
        <w:t>资历表</w:t>
      </w:r>
    </w:p>
    <w:p w14:paraId="4F5A0A95">
      <w:pPr>
        <w:pStyle w:val="14"/>
        <w:pBdr>
          <w:bottom w:val="none" w:color="auto" w:sz="0" w:space="1"/>
        </w:pBdr>
        <w:ind w:firstLine="360"/>
        <w:rPr>
          <w:rFonts w:ascii="Times New Roman" w:hAnsi="Times New Roman" w:cs="Times New Roman"/>
        </w:rPr>
      </w:pPr>
    </w:p>
    <w:tbl>
      <w:tblPr>
        <w:tblStyle w:val="23"/>
        <w:tblW w:w="923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37"/>
        <w:gridCol w:w="1510"/>
        <w:gridCol w:w="375"/>
        <w:gridCol w:w="570"/>
        <w:gridCol w:w="1089"/>
        <w:gridCol w:w="9"/>
        <w:gridCol w:w="753"/>
        <w:gridCol w:w="489"/>
        <w:gridCol w:w="164"/>
        <w:gridCol w:w="790"/>
        <w:gridCol w:w="1444"/>
      </w:tblGrid>
      <w:tr w14:paraId="420FA7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5" w:hRule="atLeast"/>
          <w:jc w:val="center"/>
        </w:trPr>
        <w:tc>
          <w:tcPr>
            <w:tcW w:w="2037" w:type="dxa"/>
            <w:vAlign w:val="center"/>
          </w:tcPr>
          <w:p w14:paraId="4C54CFD1">
            <w:pPr>
              <w:ind w:right="-139" w:rightChars="-58"/>
              <w:jc w:val="center"/>
              <w:rPr>
                <w:rFonts w:ascii="Times New Roman" w:hAnsi="Times New Roman" w:cs="Times New Roman"/>
              </w:rPr>
            </w:pPr>
            <w:r>
              <w:rPr>
                <w:rFonts w:ascii="Times New Roman" w:hAnsi="Times New Roman" w:cs="Times New Roman"/>
              </w:rPr>
              <w:t>姓  名</w:t>
            </w:r>
          </w:p>
        </w:tc>
        <w:tc>
          <w:tcPr>
            <w:tcW w:w="1510" w:type="dxa"/>
            <w:vAlign w:val="center"/>
          </w:tcPr>
          <w:p w14:paraId="6CB56F06">
            <w:pPr>
              <w:jc w:val="center"/>
              <w:rPr>
                <w:rFonts w:ascii="Times New Roman" w:hAnsi="Times New Roman" w:cs="Times New Roman"/>
              </w:rPr>
            </w:pPr>
          </w:p>
        </w:tc>
        <w:tc>
          <w:tcPr>
            <w:tcW w:w="945" w:type="dxa"/>
            <w:gridSpan w:val="2"/>
            <w:vAlign w:val="center"/>
          </w:tcPr>
          <w:p w14:paraId="07711AD1">
            <w:pPr>
              <w:jc w:val="center"/>
              <w:rPr>
                <w:rFonts w:ascii="Times New Roman" w:hAnsi="Times New Roman" w:cs="Times New Roman"/>
              </w:rPr>
            </w:pPr>
            <w:r>
              <w:rPr>
                <w:rFonts w:ascii="Times New Roman" w:hAnsi="Times New Roman" w:cs="Times New Roman"/>
              </w:rPr>
              <w:t>性 别</w:t>
            </w:r>
          </w:p>
        </w:tc>
        <w:tc>
          <w:tcPr>
            <w:tcW w:w="1098" w:type="dxa"/>
            <w:gridSpan w:val="2"/>
            <w:vAlign w:val="center"/>
          </w:tcPr>
          <w:p w14:paraId="191E6B1E">
            <w:pPr>
              <w:jc w:val="center"/>
              <w:rPr>
                <w:rFonts w:ascii="Times New Roman" w:hAnsi="Times New Roman" w:cs="Times New Roman"/>
              </w:rPr>
            </w:pPr>
          </w:p>
        </w:tc>
        <w:tc>
          <w:tcPr>
            <w:tcW w:w="1406" w:type="dxa"/>
            <w:gridSpan w:val="3"/>
            <w:vAlign w:val="center"/>
          </w:tcPr>
          <w:p w14:paraId="3F00114D">
            <w:pPr>
              <w:jc w:val="center"/>
              <w:rPr>
                <w:rFonts w:ascii="Times New Roman" w:hAnsi="Times New Roman" w:cs="Times New Roman"/>
              </w:rPr>
            </w:pPr>
            <w:r>
              <w:rPr>
                <w:rFonts w:ascii="Times New Roman" w:hAnsi="Times New Roman" w:cs="Times New Roman"/>
              </w:rPr>
              <w:t>出生日期</w:t>
            </w:r>
          </w:p>
        </w:tc>
        <w:tc>
          <w:tcPr>
            <w:tcW w:w="2234" w:type="dxa"/>
            <w:gridSpan w:val="2"/>
            <w:vAlign w:val="center"/>
          </w:tcPr>
          <w:p w14:paraId="00A481AE">
            <w:pPr>
              <w:jc w:val="center"/>
              <w:rPr>
                <w:rFonts w:ascii="Times New Roman" w:hAnsi="Times New Roman" w:cs="Times New Roman"/>
              </w:rPr>
            </w:pPr>
            <w:r>
              <w:rPr>
                <w:rFonts w:ascii="Times New Roman" w:hAnsi="Times New Roman" w:cs="Times New Roman"/>
              </w:rPr>
              <w:t xml:space="preserve">   年    月   日</w:t>
            </w:r>
          </w:p>
        </w:tc>
      </w:tr>
      <w:tr w14:paraId="3623C6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0" w:hRule="atLeast"/>
          <w:jc w:val="center"/>
        </w:trPr>
        <w:tc>
          <w:tcPr>
            <w:tcW w:w="2037" w:type="dxa"/>
            <w:vAlign w:val="center"/>
          </w:tcPr>
          <w:p w14:paraId="6D944245">
            <w:pPr>
              <w:jc w:val="center"/>
              <w:rPr>
                <w:rFonts w:ascii="Times New Roman" w:hAnsi="Times New Roman" w:cs="Times New Roman"/>
              </w:rPr>
            </w:pPr>
            <w:r>
              <w:rPr>
                <w:rFonts w:ascii="Times New Roman" w:hAnsi="Times New Roman" w:cs="Times New Roman"/>
              </w:rPr>
              <w:t>毕业院校及专业</w:t>
            </w:r>
          </w:p>
        </w:tc>
        <w:tc>
          <w:tcPr>
            <w:tcW w:w="3553" w:type="dxa"/>
            <w:gridSpan w:val="5"/>
            <w:vAlign w:val="center"/>
          </w:tcPr>
          <w:p w14:paraId="6BBF522A">
            <w:pPr>
              <w:jc w:val="center"/>
              <w:rPr>
                <w:rFonts w:ascii="Times New Roman" w:hAnsi="Times New Roman" w:cs="Times New Roman"/>
              </w:rPr>
            </w:pPr>
          </w:p>
        </w:tc>
        <w:tc>
          <w:tcPr>
            <w:tcW w:w="1406" w:type="dxa"/>
            <w:gridSpan w:val="3"/>
            <w:vAlign w:val="center"/>
          </w:tcPr>
          <w:p w14:paraId="25C01443">
            <w:pPr>
              <w:ind w:left="-18"/>
              <w:jc w:val="center"/>
              <w:rPr>
                <w:rFonts w:ascii="Times New Roman" w:hAnsi="Times New Roman" w:cs="Times New Roman"/>
              </w:rPr>
            </w:pPr>
            <w:r>
              <w:rPr>
                <w:rFonts w:ascii="Times New Roman" w:hAnsi="Times New Roman" w:cs="Times New Roman"/>
              </w:rPr>
              <w:t>毕业时间</w:t>
            </w:r>
          </w:p>
        </w:tc>
        <w:tc>
          <w:tcPr>
            <w:tcW w:w="2234" w:type="dxa"/>
            <w:gridSpan w:val="2"/>
            <w:vAlign w:val="center"/>
          </w:tcPr>
          <w:p w14:paraId="54D623AF">
            <w:pPr>
              <w:ind w:left="45"/>
              <w:jc w:val="center"/>
              <w:rPr>
                <w:rFonts w:ascii="Times New Roman" w:hAnsi="Times New Roman" w:cs="Times New Roman"/>
              </w:rPr>
            </w:pPr>
            <w:r>
              <w:rPr>
                <w:rFonts w:ascii="Times New Roman" w:hAnsi="Times New Roman" w:cs="Times New Roman"/>
              </w:rPr>
              <w:t xml:space="preserve">   年    月   日</w:t>
            </w:r>
          </w:p>
        </w:tc>
      </w:tr>
      <w:tr w14:paraId="246B4B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jc w:val="center"/>
        </w:trPr>
        <w:tc>
          <w:tcPr>
            <w:tcW w:w="2037" w:type="dxa"/>
            <w:vAlign w:val="center"/>
          </w:tcPr>
          <w:p w14:paraId="15753D8E">
            <w:pPr>
              <w:jc w:val="center"/>
              <w:rPr>
                <w:rFonts w:ascii="Times New Roman" w:hAnsi="Times New Roman" w:cs="Times New Roman"/>
              </w:rPr>
            </w:pPr>
            <w:r>
              <w:rPr>
                <w:rFonts w:ascii="Times New Roman" w:hAnsi="Times New Roman" w:cs="Times New Roman"/>
              </w:rPr>
              <w:t>从事本专业时间</w:t>
            </w:r>
          </w:p>
        </w:tc>
        <w:tc>
          <w:tcPr>
            <w:tcW w:w="1885" w:type="dxa"/>
            <w:gridSpan w:val="2"/>
            <w:vAlign w:val="center"/>
          </w:tcPr>
          <w:p w14:paraId="4DC72855">
            <w:pPr>
              <w:jc w:val="center"/>
              <w:rPr>
                <w:rFonts w:ascii="Times New Roman" w:hAnsi="Times New Roman" w:cs="Times New Roman"/>
              </w:rPr>
            </w:pPr>
          </w:p>
        </w:tc>
        <w:tc>
          <w:tcPr>
            <w:tcW w:w="2421" w:type="dxa"/>
            <w:gridSpan w:val="4"/>
            <w:vAlign w:val="center"/>
          </w:tcPr>
          <w:p w14:paraId="6C63241C">
            <w:pPr>
              <w:jc w:val="center"/>
              <w:rPr>
                <w:rFonts w:ascii="Times New Roman" w:hAnsi="Times New Roman" w:cs="Times New Roman"/>
              </w:rPr>
            </w:pPr>
            <w:r>
              <w:rPr>
                <w:rFonts w:ascii="Times New Roman" w:hAnsi="Times New Roman" w:cs="Times New Roman"/>
              </w:rPr>
              <w:t>为申请人服务时间</w:t>
            </w:r>
          </w:p>
        </w:tc>
        <w:tc>
          <w:tcPr>
            <w:tcW w:w="2887" w:type="dxa"/>
            <w:gridSpan w:val="4"/>
            <w:vAlign w:val="center"/>
          </w:tcPr>
          <w:p w14:paraId="326D4135">
            <w:pPr>
              <w:jc w:val="center"/>
              <w:rPr>
                <w:rFonts w:ascii="Times New Roman" w:hAnsi="Times New Roman" w:cs="Times New Roman"/>
              </w:rPr>
            </w:pPr>
          </w:p>
        </w:tc>
      </w:tr>
      <w:tr w14:paraId="55C1A2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2037" w:type="dxa"/>
            <w:vAlign w:val="center"/>
          </w:tcPr>
          <w:p w14:paraId="4340E389">
            <w:pPr>
              <w:jc w:val="center"/>
              <w:rPr>
                <w:rFonts w:ascii="Times New Roman" w:hAnsi="Times New Roman" w:cs="Times New Roman"/>
              </w:rPr>
            </w:pPr>
            <w:r>
              <w:rPr>
                <w:rFonts w:ascii="Times New Roman" w:hAnsi="Times New Roman" w:cs="Times New Roman"/>
              </w:rPr>
              <w:t>执 业 注 册</w:t>
            </w:r>
          </w:p>
        </w:tc>
        <w:tc>
          <w:tcPr>
            <w:tcW w:w="1885" w:type="dxa"/>
            <w:gridSpan w:val="2"/>
            <w:vAlign w:val="center"/>
          </w:tcPr>
          <w:p w14:paraId="2B65D144">
            <w:pPr>
              <w:jc w:val="center"/>
              <w:rPr>
                <w:rFonts w:ascii="Times New Roman" w:hAnsi="Times New Roman" w:cs="Times New Roman"/>
              </w:rPr>
            </w:pPr>
          </w:p>
        </w:tc>
        <w:tc>
          <w:tcPr>
            <w:tcW w:w="2421" w:type="dxa"/>
            <w:gridSpan w:val="4"/>
            <w:vAlign w:val="center"/>
          </w:tcPr>
          <w:p w14:paraId="7C19F704">
            <w:pPr>
              <w:jc w:val="center"/>
              <w:rPr>
                <w:rFonts w:ascii="Times New Roman" w:hAnsi="Times New Roman" w:cs="Times New Roman"/>
              </w:rPr>
            </w:pPr>
            <w:r>
              <w:rPr>
                <w:rFonts w:ascii="Times New Roman" w:hAnsi="Times New Roman" w:cs="Times New Roman"/>
              </w:rPr>
              <w:t>职       称</w:t>
            </w:r>
          </w:p>
        </w:tc>
        <w:tc>
          <w:tcPr>
            <w:tcW w:w="2887" w:type="dxa"/>
            <w:gridSpan w:val="4"/>
            <w:vAlign w:val="center"/>
          </w:tcPr>
          <w:p w14:paraId="0B264214">
            <w:pPr>
              <w:jc w:val="center"/>
              <w:rPr>
                <w:rFonts w:ascii="Times New Roman" w:hAnsi="Times New Roman" w:cs="Times New Roman"/>
              </w:rPr>
            </w:pPr>
          </w:p>
        </w:tc>
      </w:tr>
      <w:tr w14:paraId="50A5B5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2037" w:type="dxa"/>
            <w:vAlign w:val="center"/>
          </w:tcPr>
          <w:p w14:paraId="009157C5">
            <w:pPr>
              <w:jc w:val="center"/>
              <w:rPr>
                <w:rFonts w:ascii="Times New Roman" w:hAnsi="Times New Roman" w:cs="Times New Roman"/>
              </w:rPr>
            </w:pPr>
            <w:r>
              <w:rPr>
                <w:rFonts w:ascii="Times New Roman" w:hAnsi="Times New Roman" w:cs="Times New Roman"/>
              </w:rPr>
              <w:t>单位任职</w:t>
            </w:r>
          </w:p>
        </w:tc>
        <w:tc>
          <w:tcPr>
            <w:tcW w:w="3544" w:type="dxa"/>
            <w:gridSpan w:val="4"/>
            <w:vAlign w:val="center"/>
          </w:tcPr>
          <w:p w14:paraId="62E0DA7C">
            <w:pPr>
              <w:jc w:val="center"/>
              <w:rPr>
                <w:rFonts w:ascii="Times New Roman" w:hAnsi="Times New Roman" w:cs="Times New Roman"/>
              </w:rPr>
            </w:pPr>
          </w:p>
        </w:tc>
        <w:tc>
          <w:tcPr>
            <w:tcW w:w="1251" w:type="dxa"/>
            <w:gridSpan w:val="3"/>
            <w:vAlign w:val="center"/>
          </w:tcPr>
          <w:p w14:paraId="672AB08C">
            <w:pPr>
              <w:jc w:val="center"/>
              <w:rPr>
                <w:rFonts w:ascii="Times New Roman" w:hAnsi="Times New Roman" w:cs="Times New Roman"/>
              </w:rPr>
            </w:pPr>
            <w:r>
              <w:rPr>
                <w:rFonts w:ascii="Times New Roman" w:hAnsi="Times New Roman" w:cs="Times New Roman"/>
              </w:rPr>
              <w:t>工作证号</w:t>
            </w:r>
          </w:p>
        </w:tc>
        <w:tc>
          <w:tcPr>
            <w:tcW w:w="2398" w:type="dxa"/>
            <w:gridSpan w:val="3"/>
            <w:vAlign w:val="center"/>
          </w:tcPr>
          <w:p w14:paraId="6BC3C692">
            <w:pPr>
              <w:jc w:val="center"/>
              <w:rPr>
                <w:rFonts w:ascii="Times New Roman" w:hAnsi="Times New Roman" w:cs="Times New Roman"/>
              </w:rPr>
            </w:pPr>
          </w:p>
        </w:tc>
      </w:tr>
      <w:tr w14:paraId="38ABA0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0" w:hRule="atLeast"/>
          <w:jc w:val="center"/>
        </w:trPr>
        <w:tc>
          <w:tcPr>
            <w:tcW w:w="9230" w:type="dxa"/>
            <w:gridSpan w:val="11"/>
            <w:vAlign w:val="center"/>
          </w:tcPr>
          <w:p w14:paraId="002F7BC3">
            <w:pPr>
              <w:rPr>
                <w:rFonts w:ascii="Times New Roman" w:hAnsi="Times New Roman" w:cs="Times New Roman"/>
              </w:rPr>
            </w:pPr>
            <w:r>
              <w:rPr>
                <w:rFonts w:ascii="Times New Roman" w:hAnsi="Times New Roman" w:cs="Times New Roman"/>
              </w:rPr>
              <w:t xml:space="preserve">  主要经历                        </w:t>
            </w:r>
          </w:p>
        </w:tc>
      </w:tr>
      <w:tr w14:paraId="46BED9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jc w:val="center"/>
        </w:trPr>
        <w:tc>
          <w:tcPr>
            <w:tcW w:w="2037" w:type="dxa"/>
            <w:vAlign w:val="center"/>
          </w:tcPr>
          <w:p w14:paraId="2B275BF4">
            <w:pPr>
              <w:jc w:val="center"/>
              <w:rPr>
                <w:rFonts w:ascii="Times New Roman" w:hAnsi="Times New Roman" w:cs="Times New Roman"/>
              </w:rPr>
            </w:pPr>
            <w:r>
              <w:rPr>
                <w:rFonts w:ascii="Times New Roman" w:hAnsi="Times New Roman" w:cs="Times New Roman"/>
              </w:rPr>
              <w:t>时   间</w:t>
            </w:r>
          </w:p>
        </w:tc>
        <w:tc>
          <w:tcPr>
            <w:tcW w:w="4306" w:type="dxa"/>
            <w:gridSpan w:val="6"/>
            <w:vAlign w:val="center"/>
          </w:tcPr>
          <w:p w14:paraId="1FFF69F9">
            <w:pPr>
              <w:jc w:val="center"/>
              <w:rPr>
                <w:rFonts w:ascii="Times New Roman" w:hAnsi="Times New Roman" w:cs="Times New Roman"/>
              </w:rPr>
            </w:pPr>
            <w:r>
              <w:rPr>
                <w:rFonts w:ascii="Times New Roman" w:hAnsi="Times New Roman" w:cs="Times New Roman"/>
              </w:rPr>
              <w:t>参加过的类似项目名称及规模</w:t>
            </w:r>
          </w:p>
        </w:tc>
        <w:tc>
          <w:tcPr>
            <w:tcW w:w="1443" w:type="dxa"/>
            <w:gridSpan w:val="3"/>
            <w:vAlign w:val="center"/>
          </w:tcPr>
          <w:p w14:paraId="24913021">
            <w:pPr>
              <w:jc w:val="center"/>
              <w:rPr>
                <w:rFonts w:ascii="Times New Roman" w:hAnsi="Times New Roman" w:cs="Times New Roman"/>
              </w:rPr>
            </w:pPr>
            <w:r>
              <w:rPr>
                <w:rFonts w:ascii="Times New Roman" w:hAnsi="Times New Roman" w:cs="Times New Roman"/>
              </w:rPr>
              <w:t>项目中任职</w:t>
            </w:r>
          </w:p>
        </w:tc>
        <w:tc>
          <w:tcPr>
            <w:tcW w:w="1444" w:type="dxa"/>
            <w:vAlign w:val="center"/>
          </w:tcPr>
          <w:p w14:paraId="70F01E14">
            <w:pPr>
              <w:jc w:val="center"/>
              <w:rPr>
                <w:rFonts w:ascii="Times New Roman" w:hAnsi="Times New Roman" w:cs="Times New Roman"/>
              </w:rPr>
            </w:pPr>
            <w:r>
              <w:rPr>
                <w:rFonts w:ascii="Times New Roman" w:hAnsi="Times New Roman" w:cs="Times New Roman"/>
              </w:rPr>
              <w:t>获奖情况</w:t>
            </w:r>
          </w:p>
        </w:tc>
      </w:tr>
      <w:tr w14:paraId="107BFA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4" w:hRule="atLeast"/>
          <w:jc w:val="center"/>
        </w:trPr>
        <w:tc>
          <w:tcPr>
            <w:tcW w:w="2037" w:type="dxa"/>
            <w:vAlign w:val="center"/>
          </w:tcPr>
          <w:p w14:paraId="2298D3D0">
            <w:pPr>
              <w:jc w:val="center"/>
              <w:rPr>
                <w:rFonts w:ascii="Times New Roman" w:hAnsi="Times New Roman" w:cs="Times New Roman"/>
              </w:rPr>
            </w:pPr>
          </w:p>
        </w:tc>
        <w:tc>
          <w:tcPr>
            <w:tcW w:w="4306" w:type="dxa"/>
            <w:gridSpan w:val="6"/>
            <w:vAlign w:val="center"/>
          </w:tcPr>
          <w:p w14:paraId="5C02861D">
            <w:pPr>
              <w:jc w:val="center"/>
              <w:rPr>
                <w:rFonts w:ascii="Times New Roman" w:hAnsi="Times New Roman" w:cs="Times New Roman"/>
              </w:rPr>
            </w:pPr>
          </w:p>
        </w:tc>
        <w:tc>
          <w:tcPr>
            <w:tcW w:w="1443" w:type="dxa"/>
            <w:gridSpan w:val="3"/>
            <w:vAlign w:val="center"/>
          </w:tcPr>
          <w:p w14:paraId="67DFDF2C">
            <w:pPr>
              <w:jc w:val="center"/>
              <w:rPr>
                <w:rFonts w:ascii="Times New Roman" w:hAnsi="Times New Roman" w:cs="Times New Roman"/>
              </w:rPr>
            </w:pPr>
          </w:p>
        </w:tc>
        <w:tc>
          <w:tcPr>
            <w:tcW w:w="1444" w:type="dxa"/>
            <w:vAlign w:val="center"/>
          </w:tcPr>
          <w:p w14:paraId="1281969F">
            <w:pPr>
              <w:jc w:val="center"/>
              <w:rPr>
                <w:rFonts w:ascii="Times New Roman" w:hAnsi="Times New Roman" w:cs="Times New Roman"/>
              </w:rPr>
            </w:pPr>
          </w:p>
        </w:tc>
      </w:tr>
      <w:tr w14:paraId="42D6D0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037" w:type="dxa"/>
            <w:vAlign w:val="center"/>
          </w:tcPr>
          <w:p w14:paraId="7F329A3A">
            <w:pPr>
              <w:jc w:val="center"/>
              <w:rPr>
                <w:rFonts w:ascii="Times New Roman" w:hAnsi="Times New Roman" w:cs="Times New Roman"/>
                <w:sz w:val="22"/>
              </w:rPr>
            </w:pPr>
          </w:p>
        </w:tc>
        <w:tc>
          <w:tcPr>
            <w:tcW w:w="4306" w:type="dxa"/>
            <w:gridSpan w:val="6"/>
            <w:vAlign w:val="center"/>
          </w:tcPr>
          <w:p w14:paraId="5353A72B">
            <w:pPr>
              <w:jc w:val="center"/>
              <w:rPr>
                <w:rFonts w:ascii="Times New Roman" w:hAnsi="Times New Roman" w:cs="Times New Roman"/>
                <w:sz w:val="22"/>
              </w:rPr>
            </w:pPr>
          </w:p>
        </w:tc>
        <w:tc>
          <w:tcPr>
            <w:tcW w:w="1443" w:type="dxa"/>
            <w:gridSpan w:val="3"/>
            <w:vAlign w:val="center"/>
          </w:tcPr>
          <w:p w14:paraId="4B40FF73">
            <w:pPr>
              <w:jc w:val="center"/>
              <w:rPr>
                <w:rFonts w:ascii="Times New Roman" w:hAnsi="Times New Roman" w:cs="Times New Roman"/>
                <w:sz w:val="22"/>
              </w:rPr>
            </w:pPr>
          </w:p>
        </w:tc>
        <w:tc>
          <w:tcPr>
            <w:tcW w:w="1444" w:type="dxa"/>
            <w:vAlign w:val="center"/>
          </w:tcPr>
          <w:p w14:paraId="1794CF06">
            <w:pPr>
              <w:jc w:val="center"/>
              <w:rPr>
                <w:rFonts w:ascii="Times New Roman" w:hAnsi="Times New Roman" w:cs="Times New Roman"/>
                <w:sz w:val="22"/>
              </w:rPr>
            </w:pPr>
          </w:p>
        </w:tc>
      </w:tr>
      <w:tr w14:paraId="62ABDD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4" w:hRule="atLeast"/>
          <w:jc w:val="center"/>
        </w:trPr>
        <w:tc>
          <w:tcPr>
            <w:tcW w:w="2037" w:type="dxa"/>
            <w:vAlign w:val="center"/>
          </w:tcPr>
          <w:p w14:paraId="4605D43D">
            <w:pPr>
              <w:jc w:val="center"/>
              <w:rPr>
                <w:rFonts w:ascii="Times New Roman" w:hAnsi="Times New Roman" w:cs="Times New Roman"/>
                <w:sz w:val="22"/>
              </w:rPr>
            </w:pPr>
          </w:p>
        </w:tc>
        <w:tc>
          <w:tcPr>
            <w:tcW w:w="4306" w:type="dxa"/>
            <w:gridSpan w:val="6"/>
            <w:vAlign w:val="center"/>
          </w:tcPr>
          <w:p w14:paraId="68ABF350">
            <w:pPr>
              <w:jc w:val="center"/>
              <w:rPr>
                <w:rFonts w:ascii="Times New Roman" w:hAnsi="Times New Roman" w:cs="Times New Roman"/>
                <w:sz w:val="22"/>
              </w:rPr>
            </w:pPr>
          </w:p>
        </w:tc>
        <w:tc>
          <w:tcPr>
            <w:tcW w:w="1443" w:type="dxa"/>
            <w:gridSpan w:val="3"/>
            <w:vAlign w:val="center"/>
          </w:tcPr>
          <w:p w14:paraId="27A22506">
            <w:pPr>
              <w:jc w:val="center"/>
              <w:rPr>
                <w:rFonts w:ascii="Times New Roman" w:hAnsi="Times New Roman" w:cs="Times New Roman"/>
                <w:sz w:val="22"/>
              </w:rPr>
            </w:pPr>
          </w:p>
        </w:tc>
        <w:tc>
          <w:tcPr>
            <w:tcW w:w="1444" w:type="dxa"/>
            <w:vAlign w:val="center"/>
          </w:tcPr>
          <w:p w14:paraId="12730C4F">
            <w:pPr>
              <w:jc w:val="center"/>
              <w:rPr>
                <w:rFonts w:ascii="Times New Roman" w:hAnsi="Times New Roman" w:cs="Times New Roman"/>
                <w:sz w:val="22"/>
              </w:rPr>
            </w:pPr>
          </w:p>
        </w:tc>
      </w:tr>
      <w:tr w14:paraId="4B54E9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6" w:hRule="atLeast"/>
          <w:jc w:val="center"/>
        </w:trPr>
        <w:tc>
          <w:tcPr>
            <w:tcW w:w="2037" w:type="dxa"/>
            <w:vAlign w:val="center"/>
          </w:tcPr>
          <w:p w14:paraId="766B0C5F">
            <w:pPr>
              <w:jc w:val="center"/>
              <w:rPr>
                <w:rFonts w:ascii="Times New Roman" w:hAnsi="Times New Roman" w:cs="Times New Roman"/>
                <w:sz w:val="22"/>
              </w:rPr>
            </w:pPr>
          </w:p>
        </w:tc>
        <w:tc>
          <w:tcPr>
            <w:tcW w:w="4306" w:type="dxa"/>
            <w:gridSpan w:val="6"/>
            <w:vAlign w:val="center"/>
          </w:tcPr>
          <w:p w14:paraId="03C69559">
            <w:pPr>
              <w:jc w:val="center"/>
              <w:rPr>
                <w:rFonts w:ascii="Times New Roman" w:hAnsi="Times New Roman" w:cs="Times New Roman"/>
                <w:sz w:val="22"/>
              </w:rPr>
            </w:pPr>
          </w:p>
        </w:tc>
        <w:tc>
          <w:tcPr>
            <w:tcW w:w="1443" w:type="dxa"/>
            <w:gridSpan w:val="3"/>
            <w:vAlign w:val="center"/>
          </w:tcPr>
          <w:p w14:paraId="745C1C1E">
            <w:pPr>
              <w:jc w:val="center"/>
              <w:rPr>
                <w:rFonts w:ascii="Times New Roman" w:hAnsi="Times New Roman" w:cs="Times New Roman"/>
                <w:sz w:val="22"/>
              </w:rPr>
            </w:pPr>
          </w:p>
        </w:tc>
        <w:tc>
          <w:tcPr>
            <w:tcW w:w="1444" w:type="dxa"/>
            <w:vAlign w:val="center"/>
          </w:tcPr>
          <w:p w14:paraId="0CAFB239">
            <w:pPr>
              <w:jc w:val="center"/>
              <w:rPr>
                <w:rFonts w:ascii="Times New Roman" w:hAnsi="Times New Roman" w:cs="Times New Roman"/>
                <w:sz w:val="22"/>
              </w:rPr>
            </w:pPr>
          </w:p>
        </w:tc>
      </w:tr>
      <w:tr w14:paraId="7E01B2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2" w:hRule="atLeast"/>
          <w:jc w:val="center"/>
        </w:trPr>
        <w:tc>
          <w:tcPr>
            <w:tcW w:w="2037" w:type="dxa"/>
            <w:vAlign w:val="center"/>
          </w:tcPr>
          <w:p w14:paraId="13A121A5">
            <w:pPr>
              <w:jc w:val="center"/>
              <w:rPr>
                <w:rFonts w:ascii="Times New Roman" w:hAnsi="Times New Roman" w:cs="Times New Roman"/>
                <w:sz w:val="22"/>
              </w:rPr>
            </w:pPr>
          </w:p>
        </w:tc>
        <w:tc>
          <w:tcPr>
            <w:tcW w:w="4306" w:type="dxa"/>
            <w:gridSpan w:val="6"/>
            <w:vAlign w:val="center"/>
          </w:tcPr>
          <w:p w14:paraId="27947A27">
            <w:pPr>
              <w:jc w:val="center"/>
              <w:rPr>
                <w:rFonts w:ascii="Times New Roman" w:hAnsi="Times New Roman" w:cs="Times New Roman"/>
                <w:sz w:val="22"/>
              </w:rPr>
            </w:pPr>
          </w:p>
        </w:tc>
        <w:tc>
          <w:tcPr>
            <w:tcW w:w="1443" w:type="dxa"/>
            <w:gridSpan w:val="3"/>
            <w:vAlign w:val="center"/>
          </w:tcPr>
          <w:p w14:paraId="061F0163">
            <w:pPr>
              <w:jc w:val="center"/>
              <w:rPr>
                <w:rFonts w:ascii="Times New Roman" w:hAnsi="Times New Roman" w:cs="Times New Roman"/>
                <w:sz w:val="22"/>
              </w:rPr>
            </w:pPr>
          </w:p>
        </w:tc>
        <w:tc>
          <w:tcPr>
            <w:tcW w:w="1444" w:type="dxa"/>
            <w:vAlign w:val="center"/>
          </w:tcPr>
          <w:p w14:paraId="6E84F6EC">
            <w:pPr>
              <w:jc w:val="center"/>
              <w:rPr>
                <w:rFonts w:ascii="Times New Roman" w:hAnsi="Times New Roman" w:cs="Times New Roman"/>
                <w:sz w:val="22"/>
              </w:rPr>
            </w:pPr>
          </w:p>
        </w:tc>
      </w:tr>
      <w:tr w14:paraId="0D217A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3" w:hRule="atLeast"/>
          <w:jc w:val="center"/>
        </w:trPr>
        <w:tc>
          <w:tcPr>
            <w:tcW w:w="2037" w:type="dxa"/>
            <w:vAlign w:val="center"/>
          </w:tcPr>
          <w:p w14:paraId="2220E8B2">
            <w:pPr>
              <w:jc w:val="center"/>
              <w:rPr>
                <w:rFonts w:ascii="Times New Roman" w:hAnsi="Times New Roman" w:cs="Times New Roman"/>
                <w:sz w:val="22"/>
              </w:rPr>
            </w:pPr>
          </w:p>
        </w:tc>
        <w:tc>
          <w:tcPr>
            <w:tcW w:w="4306" w:type="dxa"/>
            <w:gridSpan w:val="6"/>
            <w:vAlign w:val="center"/>
          </w:tcPr>
          <w:p w14:paraId="638BB03B">
            <w:pPr>
              <w:jc w:val="center"/>
              <w:rPr>
                <w:rFonts w:ascii="Times New Roman" w:hAnsi="Times New Roman" w:cs="Times New Roman"/>
                <w:sz w:val="22"/>
              </w:rPr>
            </w:pPr>
          </w:p>
        </w:tc>
        <w:tc>
          <w:tcPr>
            <w:tcW w:w="1443" w:type="dxa"/>
            <w:gridSpan w:val="3"/>
            <w:vAlign w:val="center"/>
          </w:tcPr>
          <w:p w14:paraId="00F4B0C9">
            <w:pPr>
              <w:jc w:val="center"/>
              <w:rPr>
                <w:rFonts w:ascii="Times New Roman" w:hAnsi="Times New Roman" w:cs="Times New Roman"/>
                <w:sz w:val="22"/>
              </w:rPr>
            </w:pPr>
          </w:p>
        </w:tc>
        <w:tc>
          <w:tcPr>
            <w:tcW w:w="1444" w:type="dxa"/>
            <w:vAlign w:val="center"/>
          </w:tcPr>
          <w:p w14:paraId="462ED155">
            <w:pPr>
              <w:jc w:val="center"/>
              <w:rPr>
                <w:rFonts w:ascii="Times New Roman" w:hAnsi="Times New Roman" w:cs="Times New Roman"/>
                <w:sz w:val="22"/>
              </w:rPr>
            </w:pPr>
          </w:p>
        </w:tc>
      </w:tr>
      <w:tr w14:paraId="6C938C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9" w:hRule="atLeast"/>
          <w:jc w:val="center"/>
        </w:trPr>
        <w:tc>
          <w:tcPr>
            <w:tcW w:w="2037" w:type="dxa"/>
            <w:vAlign w:val="center"/>
          </w:tcPr>
          <w:p w14:paraId="5859F767">
            <w:pPr>
              <w:jc w:val="center"/>
              <w:rPr>
                <w:rFonts w:ascii="Times New Roman" w:hAnsi="Times New Roman" w:cs="Times New Roman"/>
                <w:sz w:val="22"/>
              </w:rPr>
            </w:pPr>
          </w:p>
        </w:tc>
        <w:tc>
          <w:tcPr>
            <w:tcW w:w="4306" w:type="dxa"/>
            <w:gridSpan w:val="6"/>
            <w:vAlign w:val="center"/>
          </w:tcPr>
          <w:p w14:paraId="0E751472">
            <w:pPr>
              <w:jc w:val="center"/>
              <w:rPr>
                <w:rFonts w:ascii="Times New Roman" w:hAnsi="Times New Roman" w:cs="Times New Roman"/>
                <w:sz w:val="22"/>
              </w:rPr>
            </w:pPr>
          </w:p>
        </w:tc>
        <w:tc>
          <w:tcPr>
            <w:tcW w:w="1443" w:type="dxa"/>
            <w:gridSpan w:val="3"/>
            <w:vAlign w:val="center"/>
          </w:tcPr>
          <w:p w14:paraId="3C9E0DB7">
            <w:pPr>
              <w:jc w:val="center"/>
              <w:rPr>
                <w:rFonts w:ascii="Times New Roman" w:hAnsi="Times New Roman" w:cs="Times New Roman"/>
                <w:sz w:val="22"/>
              </w:rPr>
            </w:pPr>
          </w:p>
        </w:tc>
        <w:tc>
          <w:tcPr>
            <w:tcW w:w="1444" w:type="dxa"/>
            <w:vAlign w:val="center"/>
          </w:tcPr>
          <w:p w14:paraId="1680F715">
            <w:pPr>
              <w:jc w:val="center"/>
              <w:rPr>
                <w:rFonts w:ascii="Times New Roman" w:hAnsi="Times New Roman" w:cs="Times New Roman"/>
                <w:sz w:val="22"/>
              </w:rPr>
            </w:pPr>
          </w:p>
        </w:tc>
      </w:tr>
    </w:tbl>
    <w:p w14:paraId="73890E48">
      <w:pPr>
        <w:rPr>
          <w:rFonts w:ascii="Times New Roman" w:hAnsi="Times New Roman" w:cs="Times New Roman"/>
        </w:rPr>
      </w:pPr>
      <w:r>
        <w:rPr>
          <w:rFonts w:ascii="Times New Roman" w:hAnsi="Times New Roman" w:cs="Times New Roman"/>
          <w:b/>
        </w:rPr>
        <w:t>注：</w:t>
      </w:r>
      <w:r>
        <w:rPr>
          <w:rFonts w:ascii="Times New Roman" w:hAnsi="Times New Roman" w:cs="Times New Roman"/>
          <w:b/>
          <w:bCs/>
        </w:rPr>
        <w:t>本表须后附</w:t>
      </w:r>
      <w:r>
        <w:rPr>
          <w:rFonts w:ascii="Times New Roman" w:hAnsi="Times New Roman" w:cs="Times New Roman"/>
          <w:b/>
        </w:rPr>
        <w:t>项目负责人相关证书及报价单位为上述人员缴纳的近半年不少于2个月的社会保险证明材料。</w:t>
      </w:r>
    </w:p>
    <w:p w14:paraId="6BF5D1F8">
      <w:pPr>
        <w:spacing w:line="500" w:lineRule="exact"/>
        <w:rPr>
          <w:rFonts w:ascii="Times New Roman" w:hAnsi="Times New Roman" w:cs="Times New Roman"/>
          <w:bCs/>
        </w:rPr>
      </w:pPr>
      <w:r>
        <w:rPr>
          <w:rFonts w:ascii="Times New Roman" w:hAnsi="Times New Roman" w:cs="Times New Roman"/>
          <w:bCs/>
        </w:rPr>
        <w:t>授权代表（签字）：</w:t>
      </w:r>
    </w:p>
    <w:p w14:paraId="50851400">
      <w:pPr>
        <w:spacing w:line="500" w:lineRule="exact"/>
        <w:rPr>
          <w:rFonts w:ascii="Times New Roman" w:hAnsi="Times New Roman" w:cs="Times New Roman"/>
          <w:bCs/>
        </w:rPr>
      </w:pPr>
      <w:r>
        <w:rPr>
          <w:rFonts w:ascii="Times New Roman" w:hAnsi="Times New Roman" w:cs="Times New Roman"/>
          <w:bCs/>
        </w:rPr>
        <w:t>报价单位（单位公章）：</w:t>
      </w:r>
    </w:p>
    <w:p w14:paraId="1C5D160D">
      <w:pPr>
        <w:spacing w:line="500" w:lineRule="exact"/>
        <w:rPr>
          <w:rFonts w:ascii="Times New Roman" w:hAnsi="Times New Roman" w:cs="Times New Roman"/>
          <w:bCs/>
        </w:rPr>
      </w:pPr>
      <w:r>
        <w:rPr>
          <w:rFonts w:ascii="Times New Roman" w:hAnsi="Times New Roman" w:cs="Times New Roman"/>
          <w:bCs/>
        </w:rPr>
        <w:t>日期：</w:t>
      </w:r>
    </w:p>
    <w:p w14:paraId="3A23A03A">
      <w:pPr>
        <w:widowControl/>
        <w:rPr>
          <w:rFonts w:ascii="Times New Roman" w:hAnsi="Times New Roman" w:cs="Times New Roman"/>
          <w:lang w:val="en-US"/>
        </w:rPr>
      </w:pPr>
      <w:r>
        <w:rPr>
          <w:rFonts w:ascii="Times New Roman" w:hAnsi="Times New Roman" w:cs="Times New Roman"/>
          <w:lang w:val="en-US"/>
        </w:rPr>
        <w:br w:type="page"/>
      </w:r>
    </w:p>
    <w:p w14:paraId="03C6B10F">
      <w:pPr>
        <w:spacing w:line="300" w:lineRule="auto"/>
        <w:jc w:val="center"/>
        <w:outlineLvl w:val="1"/>
        <w:rPr>
          <w:rFonts w:asciiTheme="minorEastAsia" w:hAnsiTheme="minorEastAsia" w:eastAsiaTheme="minorEastAsia"/>
          <w:b/>
          <w:bCs/>
          <w:color w:val="auto"/>
          <w:sz w:val="32"/>
          <w:szCs w:val="32"/>
        </w:rPr>
      </w:pPr>
      <w:r>
        <w:rPr>
          <w:rFonts w:hint="eastAsia" w:asciiTheme="minorEastAsia" w:hAnsiTheme="minorEastAsia" w:eastAsiaTheme="minorEastAsia"/>
          <w:b/>
          <w:bCs/>
          <w:color w:val="auto"/>
          <w:sz w:val="32"/>
          <w:szCs w:val="32"/>
        </w:rPr>
        <w:t>八、拟投入本项目设备</w:t>
      </w:r>
    </w:p>
    <w:p w14:paraId="788333B5">
      <w:pPr>
        <w:pStyle w:val="22"/>
        <w:ind w:left="480" w:firstLine="480"/>
        <w:rPr>
          <w:rFonts w:ascii="Times New Roman" w:hAnsi="Times New Roman" w:cs="Times New Roman"/>
          <w:lang w:val="en-US"/>
        </w:rPr>
      </w:pPr>
    </w:p>
    <w:tbl>
      <w:tblPr>
        <w:tblStyle w:val="23"/>
        <w:tblW w:w="889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75"/>
        <w:gridCol w:w="1240"/>
        <w:gridCol w:w="827"/>
        <w:gridCol w:w="1716"/>
        <w:gridCol w:w="1397"/>
        <w:gridCol w:w="2138"/>
      </w:tblGrid>
      <w:tr w14:paraId="1B38C1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5" w:hRule="atLeast"/>
          <w:jc w:val="center"/>
        </w:trPr>
        <w:tc>
          <w:tcPr>
            <w:tcW w:w="1575" w:type="dxa"/>
            <w:vAlign w:val="center"/>
          </w:tcPr>
          <w:p w14:paraId="5C63ADD9">
            <w:pPr>
              <w:pStyle w:val="130"/>
              <w:ind w:left="881" w:hanging="881"/>
              <w:jc w:val="center"/>
              <w:rPr>
                <w:rFonts w:ascii="Times New Roman" w:hAnsi="Times New Roman"/>
                <w:sz w:val="24"/>
                <w:szCs w:val="24"/>
              </w:rPr>
            </w:pPr>
          </w:p>
        </w:tc>
        <w:tc>
          <w:tcPr>
            <w:tcW w:w="1240" w:type="dxa"/>
            <w:vAlign w:val="center"/>
          </w:tcPr>
          <w:p w14:paraId="77114ADA">
            <w:pPr>
              <w:pStyle w:val="130"/>
              <w:ind w:left="881" w:hanging="881"/>
              <w:jc w:val="center"/>
              <w:rPr>
                <w:rFonts w:ascii="Times New Roman" w:hAnsi="Times New Roman"/>
                <w:sz w:val="24"/>
                <w:szCs w:val="24"/>
              </w:rPr>
            </w:pPr>
          </w:p>
        </w:tc>
        <w:tc>
          <w:tcPr>
            <w:tcW w:w="827" w:type="dxa"/>
            <w:vAlign w:val="center"/>
          </w:tcPr>
          <w:p w14:paraId="6D71720C">
            <w:pPr>
              <w:pStyle w:val="130"/>
              <w:ind w:left="881" w:hanging="881"/>
              <w:jc w:val="center"/>
              <w:rPr>
                <w:rFonts w:ascii="Times New Roman" w:hAnsi="Times New Roman"/>
                <w:sz w:val="24"/>
                <w:szCs w:val="24"/>
              </w:rPr>
            </w:pPr>
          </w:p>
        </w:tc>
        <w:tc>
          <w:tcPr>
            <w:tcW w:w="1716" w:type="dxa"/>
            <w:vAlign w:val="center"/>
          </w:tcPr>
          <w:p w14:paraId="34312315">
            <w:pPr>
              <w:pStyle w:val="130"/>
              <w:ind w:left="881" w:hanging="881"/>
              <w:jc w:val="center"/>
              <w:rPr>
                <w:rFonts w:ascii="Times New Roman" w:hAnsi="Times New Roman"/>
                <w:sz w:val="24"/>
                <w:szCs w:val="24"/>
              </w:rPr>
            </w:pPr>
          </w:p>
        </w:tc>
        <w:tc>
          <w:tcPr>
            <w:tcW w:w="1397" w:type="dxa"/>
            <w:vAlign w:val="center"/>
          </w:tcPr>
          <w:p w14:paraId="5C1BA5AF">
            <w:pPr>
              <w:pStyle w:val="130"/>
              <w:ind w:left="881" w:hanging="881"/>
              <w:jc w:val="center"/>
              <w:rPr>
                <w:rFonts w:ascii="Times New Roman" w:hAnsi="Times New Roman"/>
                <w:sz w:val="24"/>
                <w:szCs w:val="24"/>
              </w:rPr>
            </w:pPr>
          </w:p>
        </w:tc>
        <w:tc>
          <w:tcPr>
            <w:tcW w:w="2138" w:type="dxa"/>
            <w:vAlign w:val="center"/>
          </w:tcPr>
          <w:p w14:paraId="2BB0083C">
            <w:pPr>
              <w:pStyle w:val="130"/>
              <w:ind w:left="881" w:hanging="881"/>
              <w:jc w:val="center"/>
              <w:rPr>
                <w:rFonts w:ascii="Times New Roman" w:hAnsi="Times New Roman"/>
                <w:sz w:val="24"/>
                <w:szCs w:val="24"/>
              </w:rPr>
            </w:pPr>
          </w:p>
        </w:tc>
      </w:tr>
      <w:tr w14:paraId="2EBFEA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5" w:hRule="atLeast"/>
          <w:jc w:val="center"/>
        </w:trPr>
        <w:tc>
          <w:tcPr>
            <w:tcW w:w="1575" w:type="dxa"/>
            <w:vAlign w:val="center"/>
          </w:tcPr>
          <w:p w14:paraId="6B675E86">
            <w:pPr>
              <w:pStyle w:val="130"/>
              <w:ind w:left="881" w:hanging="881"/>
              <w:jc w:val="center"/>
              <w:rPr>
                <w:rFonts w:ascii="Times New Roman" w:hAnsi="Times New Roman"/>
                <w:sz w:val="24"/>
                <w:szCs w:val="24"/>
              </w:rPr>
            </w:pPr>
          </w:p>
        </w:tc>
        <w:tc>
          <w:tcPr>
            <w:tcW w:w="1240" w:type="dxa"/>
            <w:vAlign w:val="center"/>
          </w:tcPr>
          <w:p w14:paraId="77A21C02">
            <w:pPr>
              <w:pStyle w:val="130"/>
              <w:ind w:left="881" w:hanging="881"/>
              <w:rPr>
                <w:rFonts w:ascii="Times New Roman" w:hAnsi="Times New Roman"/>
                <w:sz w:val="24"/>
                <w:szCs w:val="24"/>
              </w:rPr>
            </w:pPr>
          </w:p>
        </w:tc>
        <w:tc>
          <w:tcPr>
            <w:tcW w:w="827" w:type="dxa"/>
            <w:vAlign w:val="center"/>
          </w:tcPr>
          <w:p w14:paraId="21197722">
            <w:pPr>
              <w:pStyle w:val="130"/>
              <w:ind w:left="881" w:hanging="881"/>
              <w:rPr>
                <w:rFonts w:ascii="Times New Roman" w:hAnsi="Times New Roman"/>
                <w:sz w:val="24"/>
                <w:szCs w:val="24"/>
              </w:rPr>
            </w:pPr>
          </w:p>
        </w:tc>
        <w:tc>
          <w:tcPr>
            <w:tcW w:w="1716" w:type="dxa"/>
            <w:vAlign w:val="center"/>
          </w:tcPr>
          <w:p w14:paraId="68FC174F">
            <w:pPr>
              <w:pStyle w:val="130"/>
              <w:ind w:left="881" w:hanging="881"/>
              <w:rPr>
                <w:rFonts w:ascii="Times New Roman" w:hAnsi="Times New Roman"/>
                <w:sz w:val="24"/>
                <w:szCs w:val="24"/>
              </w:rPr>
            </w:pPr>
          </w:p>
        </w:tc>
        <w:tc>
          <w:tcPr>
            <w:tcW w:w="1397" w:type="dxa"/>
            <w:vAlign w:val="center"/>
          </w:tcPr>
          <w:p w14:paraId="2A17283D">
            <w:pPr>
              <w:pStyle w:val="130"/>
              <w:ind w:left="881" w:hanging="881"/>
              <w:rPr>
                <w:rFonts w:ascii="Times New Roman" w:hAnsi="Times New Roman"/>
                <w:sz w:val="24"/>
                <w:szCs w:val="24"/>
              </w:rPr>
            </w:pPr>
          </w:p>
        </w:tc>
        <w:tc>
          <w:tcPr>
            <w:tcW w:w="2138" w:type="dxa"/>
            <w:vAlign w:val="center"/>
          </w:tcPr>
          <w:p w14:paraId="556F6D46">
            <w:pPr>
              <w:pStyle w:val="130"/>
              <w:ind w:left="881" w:hanging="881"/>
              <w:rPr>
                <w:rFonts w:ascii="Times New Roman" w:hAnsi="Times New Roman"/>
                <w:sz w:val="24"/>
                <w:szCs w:val="24"/>
              </w:rPr>
            </w:pPr>
          </w:p>
        </w:tc>
      </w:tr>
      <w:tr w14:paraId="707DD1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5" w:hRule="atLeast"/>
          <w:jc w:val="center"/>
        </w:trPr>
        <w:tc>
          <w:tcPr>
            <w:tcW w:w="1575" w:type="dxa"/>
            <w:vAlign w:val="center"/>
          </w:tcPr>
          <w:p w14:paraId="138E42F5">
            <w:pPr>
              <w:pStyle w:val="130"/>
              <w:ind w:left="881" w:hanging="881"/>
              <w:jc w:val="center"/>
              <w:rPr>
                <w:rFonts w:ascii="Times New Roman" w:hAnsi="Times New Roman"/>
                <w:sz w:val="24"/>
                <w:szCs w:val="24"/>
              </w:rPr>
            </w:pPr>
          </w:p>
        </w:tc>
        <w:tc>
          <w:tcPr>
            <w:tcW w:w="1240" w:type="dxa"/>
            <w:vAlign w:val="center"/>
          </w:tcPr>
          <w:p w14:paraId="53AB76B0">
            <w:pPr>
              <w:pStyle w:val="130"/>
              <w:ind w:left="881" w:hanging="881"/>
              <w:rPr>
                <w:rFonts w:ascii="Times New Roman" w:hAnsi="Times New Roman"/>
                <w:sz w:val="24"/>
                <w:szCs w:val="24"/>
              </w:rPr>
            </w:pPr>
          </w:p>
        </w:tc>
        <w:tc>
          <w:tcPr>
            <w:tcW w:w="827" w:type="dxa"/>
            <w:vAlign w:val="center"/>
          </w:tcPr>
          <w:p w14:paraId="73F514ED">
            <w:pPr>
              <w:pStyle w:val="130"/>
              <w:ind w:left="881" w:hanging="881"/>
              <w:rPr>
                <w:rFonts w:ascii="Times New Roman" w:hAnsi="Times New Roman"/>
                <w:sz w:val="24"/>
                <w:szCs w:val="24"/>
              </w:rPr>
            </w:pPr>
          </w:p>
        </w:tc>
        <w:tc>
          <w:tcPr>
            <w:tcW w:w="1716" w:type="dxa"/>
            <w:vAlign w:val="center"/>
          </w:tcPr>
          <w:p w14:paraId="1C30C3E2">
            <w:pPr>
              <w:pStyle w:val="130"/>
              <w:ind w:left="881" w:hanging="881"/>
              <w:rPr>
                <w:rFonts w:ascii="Times New Roman" w:hAnsi="Times New Roman"/>
                <w:sz w:val="24"/>
                <w:szCs w:val="24"/>
              </w:rPr>
            </w:pPr>
          </w:p>
        </w:tc>
        <w:tc>
          <w:tcPr>
            <w:tcW w:w="1397" w:type="dxa"/>
            <w:vAlign w:val="center"/>
          </w:tcPr>
          <w:p w14:paraId="15D76B47">
            <w:pPr>
              <w:pStyle w:val="130"/>
              <w:ind w:left="881" w:hanging="881"/>
              <w:rPr>
                <w:rFonts w:ascii="Times New Roman" w:hAnsi="Times New Roman"/>
                <w:sz w:val="24"/>
                <w:szCs w:val="24"/>
              </w:rPr>
            </w:pPr>
          </w:p>
        </w:tc>
        <w:tc>
          <w:tcPr>
            <w:tcW w:w="2138" w:type="dxa"/>
            <w:vAlign w:val="center"/>
          </w:tcPr>
          <w:p w14:paraId="043B42C9">
            <w:pPr>
              <w:pStyle w:val="130"/>
              <w:ind w:left="881" w:hanging="881"/>
              <w:rPr>
                <w:rFonts w:ascii="Times New Roman" w:hAnsi="Times New Roman"/>
                <w:sz w:val="24"/>
                <w:szCs w:val="24"/>
              </w:rPr>
            </w:pPr>
          </w:p>
        </w:tc>
      </w:tr>
      <w:tr w14:paraId="2AA906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5" w:hRule="atLeast"/>
          <w:jc w:val="center"/>
        </w:trPr>
        <w:tc>
          <w:tcPr>
            <w:tcW w:w="1575" w:type="dxa"/>
            <w:vAlign w:val="center"/>
          </w:tcPr>
          <w:p w14:paraId="25CD2DCB">
            <w:pPr>
              <w:pStyle w:val="130"/>
              <w:ind w:left="881" w:hanging="881"/>
              <w:jc w:val="center"/>
              <w:rPr>
                <w:rFonts w:ascii="Times New Roman" w:hAnsi="Times New Roman"/>
                <w:sz w:val="24"/>
                <w:szCs w:val="24"/>
              </w:rPr>
            </w:pPr>
          </w:p>
        </w:tc>
        <w:tc>
          <w:tcPr>
            <w:tcW w:w="1240" w:type="dxa"/>
            <w:vAlign w:val="center"/>
          </w:tcPr>
          <w:p w14:paraId="4B6284CF">
            <w:pPr>
              <w:pStyle w:val="130"/>
              <w:ind w:left="881" w:hanging="881"/>
              <w:rPr>
                <w:rFonts w:ascii="Times New Roman" w:hAnsi="Times New Roman"/>
                <w:sz w:val="24"/>
                <w:szCs w:val="24"/>
              </w:rPr>
            </w:pPr>
          </w:p>
        </w:tc>
        <w:tc>
          <w:tcPr>
            <w:tcW w:w="827" w:type="dxa"/>
            <w:vAlign w:val="center"/>
          </w:tcPr>
          <w:p w14:paraId="1D8DDEA8">
            <w:pPr>
              <w:pStyle w:val="130"/>
              <w:ind w:left="881" w:hanging="881"/>
              <w:rPr>
                <w:rFonts w:ascii="Times New Roman" w:hAnsi="Times New Roman"/>
                <w:sz w:val="24"/>
                <w:szCs w:val="24"/>
              </w:rPr>
            </w:pPr>
          </w:p>
        </w:tc>
        <w:tc>
          <w:tcPr>
            <w:tcW w:w="1716" w:type="dxa"/>
            <w:vAlign w:val="center"/>
          </w:tcPr>
          <w:p w14:paraId="66A38442">
            <w:pPr>
              <w:pStyle w:val="130"/>
              <w:ind w:left="881" w:hanging="881"/>
              <w:rPr>
                <w:rFonts w:ascii="Times New Roman" w:hAnsi="Times New Roman"/>
                <w:sz w:val="24"/>
                <w:szCs w:val="24"/>
              </w:rPr>
            </w:pPr>
          </w:p>
        </w:tc>
        <w:tc>
          <w:tcPr>
            <w:tcW w:w="1397" w:type="dxa"/>
            <w:vAlign w:val="center"/>
          </w:tcPr>
          <w:p w14:paraId="2A15BEC8">
            <w:pPr>
              <w:pStyle w:val="130"/>
              <w:ind w:left="881" w:hanging="881"/>
              <w:rPr>
                <w:rFonts w:ascii="Times New Roman" w:hAnsi="Times New Roman"/>
                <w:sz w:val="24"/>
                <w:szCs w:val="24"/>
              </w:rPr>
            </w:pPr>
          </w:p>
        </w:tc>
        <w:tc>
          <w:tcPr>
            <w:tcW w:w="2138" w:type="dxa"/>
            <w:vAlign w:val="center"/>
          </w:tcPr>
          <w:p w14:paraId="1F44BA3A">
            <w:pPr>
              <w:pStyle w:val="130"/>
              <w:ind w:left="881" w:hanging="881"/>
              <w:rPr>
                <w:rFonts w:ascii="Times New Roman" w:hAnsi="Times New Roman"/>
                <w:sz w:val="24"/>
                <w:szCs w:val="24"/>
              </w:rPr>
            </w:pPr>
          </w:p>
        </w:tc>
      </w:tr>
      <w:tr w14:paraId="64DAD5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5" w:hRule="atLeast"/>
          <w:jc w:val="center"/>
        </w:trPr>
        <w:tc>
          <w:tcPr>
            <w:tcW w:w="1575" w:type="dxa"/>
            <w:vAlign w:val="center"/>
          </w:tcPr>
          <w:p w14:paraId="315A2FC3">
            <w:pPr>
              <w:pStyle w:val="130"/>
              <w:ind w:left="881" w:hanging="881"/>
              <w:jc w:val="center"/>
              <w:rPr>
                <w:rFonts w:ascii="Times New Roman" w:hAnsi="Times New Roman"/>
                <w:sz w:val="24"/>
                <w:szCs w:val="24"/>
              </w:rPr>
            </w:pPr>
          </w:p>
        </w:tc>
        <w:tc>
          <w:tcPr>
            <w:tcW w:w="1240" w:type="dxa"/>
            <w:vAlign w:val="center"/>
          </w:tcPr>
          <w:p w14:paraId="6BE71C29">
            <w:pPr>
              <w:pStyle w:val="130"/>
              <w:ind w:left="881" w:hanging="881"/>
              <w:rPr>
                <w:rFonts w:ascii="Times New Roman" w:hAnsi="Times New Roman"/>
                <w:sz w:val="24"/>
                <w:szCs w:val="24"/>
              </w:rPr>
            </w:pPr>
          </w:p>
        </w:tc>
        <w:tc>
          <w:tcPr>
            <w:tcW w:w="827" w:type="dxa"/>
            <w:vAlign w:val="center"/>
          </w:tcPr>
          <w:p w14:paraId="1C30464F">
            <w:pPr>
              <w:pStyle w:val="130"/>
              <w:ind w:left="881" w:hanging="881"/>
              <w:rPr>
                <w:rFonts w:ascii="Times New Roman" w:hAnsi="Times New Roman"/>
                <w:sz w:val="24"/>
                <w:szCs w:val="24"/>
              </w:rPr>
            </w:pPr>
          </w:p>
        </w:tc>
        <w:tc>
          <w:tcPr>
            <w:tcW w:w="1716" w:type="dxa"/>
            <w:vAlign w:val="center"/>
          </w:tcPr>
          <w:p w14:paraId="03061075">
            <w:pPr>
              <w:pStyle w:val="130"/>
              <w:ind w:left="881" w:hanging="881"/>
              <w:rPr>
                <w:rFonts w:ascii="Times New Roman" w:hAnsi="Times New Roman"/>
                <w:sz w:val="24"/>
                <w:szCs w:val="24"/>
              </w:rPr>
            </w:pPr>
          </w:p>
        </w:tc>
        <w:tc>
          <w:tcPr>
            <w:tcW w:w="1397" w:type="dxa"/>
            <w:vAlign w:val="center"/>
          </w:tcPr>
          <w:p w14:paraId="1AB1FE1F">
            <w:pPr>
              <w:pStyle w:val="130"/>
              <w:ind w:left="881" w:hanging="881"/>
              <w:rPr>
                <w:rFonts w:ascii="Times New Roman" w:hAnsi="Times New Roman"/>
                <w:sz w:val="24"/>
                <w:szCs w:val="24"/>
              </w:rPr>
            </w:pPr>
          </w:p>
        </w:tc>
        <w:tc>
          <w:tcPr>
            <w:tcW w:w="2138" w:type="dxa"/>
            <w:vAlign w:val="center"/>
          </w:tcPr>
          <w:p w14:paraId="396EA5C9">
            <w:pPr>
              <w:pStyle w:val="130"/>
              <w:ind w:left="881" w:hanging="881"/>
              <w:rPr>
                <w:rFonts w:ascii="Times New Roman" w:hAnsi="Times New Roman"/>
                <w:sz w:val="24"/>
                <w:szCs w:val="24"/>
              </w:rPr>
            </w:pPr>
          </w:p>
        </w:tc>
      </w:tr>
      <w:tr w14:paraId="6B29D1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5" w:hRule="atLeast"/>
          <w:jc w:val="center"/>
        </w:trPr>
        <w:tc>
          <w:tcPr>
            <w:tcW w:w="1575" w:type="dxa"/>
            <w:vAlign w:val="center"/>
          </w:tcPr>
          <w:p w14:paraId="3A31124A">
            <w:pPr>
              <w:pStyle w:val="130"/>
              <w:ind w:left="881" w:hanging="881"/>
              <w:jc w:val="center"/>
              <w:rPr>
                <w:rFonts w:ascii="Times New Roman" w:hAnsi="Times New Roman"/>
                <w:sz w:val="24"/>
                <w:szCs w:val="24"/>
              </w:rPr>
            </w:pPr>
          </w:p>
        </w:tc>
        <w:tc>
          <w:tcPr>
            <w:tcW w:w="1240" w:type="dxa"/>
            <w:vAlign w:val="center"/>
          </w:tcPr>
          <w:p w14:paraId="07976CCA">
            <w:pPr>
              <w:pStyle w:val="130"/>
              <w:ind w:left="881" w:hanging="881"/>
              <w:rPr>
                <w:rFonts w:ascii="Times New Roman" w:hAnsi="Times New Roman"/>
                <w:sz w:val="24"/>
                <w:szCs w:val="24"/>
              </w:rPr>
            </w:pPr>
          </w:p>
        </w:tc>
        <w:tc>
          <w:tcPr>
            <w:tcW w:w="827" w:type="dxa"/>
            <w:vAlign w:val="center"/>
          </w:tcPr>
          <w:p w14:paraId="573534EF">
            <w:pPr>
              <w:pStyle w:val="130"/>
              <w:ind w:left="881" w:hanging="881"/>
              <w:rPr>
                <w:rFonts w:ascii="Times New Roman" w:hAnsi="Times New Roman"/>
                <w:sz w:val="24"/>
                <w:szCs w:val="24"/>
              </w:rPr>
            </w:pPr>
          </w:p>
        </w:tc>
        <w:tc>
          <w:tcPr>
            <w:tcW w:w="1716" w:type="dxa"/>
            <w:vAlign w:val="center"/>
          </w:tcPr>
          <w:p w14:paraId="2F3C8D77">
            <w:pPr>
              <w:pStyle w:val="130"/>
              <w:ind w:left="881" w:hanging="881"/>
              <w:rPr>
                <w:rFonts w:ascii="Times New Roman" w:hAnsi="Times New Roman"/>
                <w:sz w:val="24"/>
                <w:szCs w:val="24"/>
              </w:rPr>
            </w:pPr>
          </w:p>
        </w:tc>
        <w:tc>
          <w:tcPr>
            <w:tcW w:w="1397" w:type="dxa"/>
            <w:vAlign w:val="center"/>
          </w:tcPr>
          <w:p w14:paraId="410BE380">
            <w:pPr>
              <w:pStyle w:val="130"/>
              <w:ind w:left="881" w:hanging="881"/>
              <w:rPr>
                <w:rFonts w:ascii="Times New Roman" w:hAnsi="Times New Roman"/>
                <w:sz w:val="24"/>
                <w:szCs w:val="24"/>
              </w:rPr>
            </w:pPr>
          </w:p>
        </w:tc>
        <w:tc>
          <w:tcPr>
            <w:tcW w:w="2138" w:type="dxa"/>
            <w:vAlign w:val="center"/>
          </w:tcPr>
          <w:p w14:paraId="0023741B">
            <w:pPr>
              <w:pStyle w:val="130"/>
              <w:ind w:left="881" w:hanging="881"/>
              <w:rPr>
                <w:rFonts w:ascii="Times New Roman" w:hAnsi="Times New Roman"/>
                <w:sz w:val="24"/>
                <w:szCs w:val="24"/>
              </w:rPr>
            </w:pPr>
          </w:p>
        </w:tc>
      </w:tr>
      <w:tr w14:paraId="14B80D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5" w:hRule="atLeast"/>
          <w:jc w:val="center"/>
        </w:trPr>
        <w:tc>
          <w:tcPr>
            <w:tcW w:w="1575" w:type="dxa"/>
            <w:vAlign w:val="center"/>
          </w:tcPr>
          <w:p w14:paraId="3E5DB796">
            <w:pPr>
              <w:pStyle w:val="130"/>
              <w:ind w:left="881" w:hanging="881"/>
              <w:jc w:val="center"/>
              <w:rPr>
                <w:rFonts w:ascii="Times New Roman" w:hAnsi="Times New Roman"/>
                <w:sz w:val="24"/>
                <w:szCs w:val="24"/>
              </w:rPr>
            </w:pPr>
          </w:p>
        </w:tc>
        <w:tc>
          <w:tcPr>
            <w:tcW w:w="1240" w:type="dxa"/>
            <w:vAlign w:val="center"/>
          </w:tcPr>
          <w:p w14:paraId="2C58C059">
            <w:pPr>
              <w:pStyle w:val="130"/>
              <w:ind w:left="881" w:hanging="881"/>
              <w:rPr>
                <w:rFonts w:ascii="Times New Roman" w:hAnsi="Times New Roman"/>
                <w:sz w:val="24"/>
                <w:szCs w:val="24"/>
              </w:rPr>
            </w:pPr>
          </w:p>
        </w:tc>
        <w:tc>
          <w:tcPr>
            <w:tcW w:w="827" w:type="dxa"/>
            <w:vAlign w:val="center"/>
          </w:tcPr>
          <w:p w14:paraId="63D7DB6A">
            <w:pPr>
              <w:pStyle w:val="130"/>
              <w:ind w:left="881" w:hanging="881"/>
              <w:rPr>
                <w:rFonts w:ascii="Times New Roman" w:hAnsi="Times New Roman"/>
                <w:sz w:val="24"/>
                <w:szCs w:val="24"/>
              </w:rPr>
            </w:pPr>
          </w:p>
        </w:tc>
        <w:tc>
          <w:tcPr>
            <w:tcW w:w="1716" w:type="dxa"/>
            <w:vAlign w:val="center"/>
          </w:tcPr>
          <w:p w14:paraId="6B095D7A">
            <w:pPr>
              <w:pStyle w:val="130"/>
              <w:ind w:left="881" w:hanging="881"/>
              <w:rPr>
                <w:rFonts w:ascii="Times New Roman" w:hAnsi="Times New Roman"/>
                <w:sz w:val="24"/>
                <w:szCs w:val="24"/>
              </w:rPr>
            </w:pPr>
          </w:p>
        </w:tc>
        <w:tc>
          <w:tcPr>
            <w:tcW w:w="1397" w:type="dxa"/>
            <w:vAlign w:val="center"/>
          </w:tcPr>
          <w:p w14:paraId="615407B5">
            <w:pPr>
              <w:pStyle w:val="130"/>
              <w:ind w:left="881" w:hanging="881"/>
              <w:rPr>
                <w:rFonts w:ascii="Times New Roman" w:hAnsi="Times New Roman"/>
                <w:sz w:val="24"/>
                <w:szCs w:val="24"/>
              </w:rPr>
            </w:pPr>
          </w:p>
        </w:tc>
        <w:tc>
          <w:tcPr>
            <w:tcW w:w="2138" w:type="dxa"/>
            <w:vAlign w:val="center"/>
          </w:tcPr>
          <w:p w14:paraId="6FB8844A">
            <w:pPr>
              <w:pStyle w:val="130"/>
              <w:ind w:left="881" w:hanging="881"/>
              <w:rPr>
                <w:rFonts w:ascii="Times New Roman" w:hAnsi="Times New Roman"/>
                <w:sz w:val="24"/>
                <w:szCs w:val="24"/>
              </w:rPr>
            </w:pPr>
          </w:p>
        </w:tc>
      </w:tr>
      <w:tr w14:paraId="6052D3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5" w:hRule="atLeast"/>
          <w:jc w:val="center"/>
        </w:trPr>
        <w:tc>
          <w:tcPr>
            <w:tcW w:w="1575" w:type="dxa"/>
            <w:vAlign w:val="center"/>
          </w:tcPr>
          <w:p w14:paraId="73E738CD">
            <w:pPr>
              <w:pStyle w:val="130"/>
              <w:ind w:left="881" w:hanging="881"/>
              <w:jc w:val="center"/>
              <w:rPr>
                <w:rFonts w:ascii="Times New Roman" w:hAnsi="Times New Roman"/>
                <w:sz w:val="24"/>
                <w:szCs w:val="24"/>
              </w:rPr>
            </w:pPr>
          </w:p>
        </w:tc>
        <w:tc>
          <w:tcPr>
            <w:tcW w:w="1240" w:type="dxa"/>
            <w:vAlign w:val="center"/>
          </w:tcPr>
          <w:p w14:paraId="087B1181">
            <w:pPr>
              <w:pStyle w:val="130"/>
              <w:ind w:left="881" w:hanging="881"/>
              <w:rPr>
                <w:rFonts w:ascii="Times New Roman" w:hAnsi="Times New Roman"/>
                <w:sz w:val="24"/>
                <w:szCs w:val="24"/>
              </w:rPr>
            </w:pPr>
          </w:p>
        </w:tc>
        <w:tc>
          <w:tcPr>
            <w:tcW w:w="827" w:type="dxa"/>
            <w:vAlign w:val="center"/>
          </w:tcPr>
          <w:p w14:paraId="745B2D3E">
            <w:pPr>
              <w:pStyle w:val="130"/>
              <w:ind w:left="881" w:hanging="881"/>
              <w:rPr>
                <w:rFonts w:ascii="Times New Roman" w:hAnsi="Times New Roman"/>
                <w:sz w:val="24"/>
                <w:szCs w:val="24"/>
              </w:rPr>
            </w:pPr>
          </w:p>
        </w:tc>
        <w:tc>
          <w:tcPr>
            <w:tcW w:w="1716" w:type="dxa"/>
            <w:vAlign w:val="center"/>
          </w:tcPr>
          <w:p w14:paraId="68E3AA3E">
            <w:pPr>
              <w:pStyle w:val="130"/>
              <w:ind w:left="881" w:hanging="881"/>
              <w:rPr>
                <w:rFonts w:ascii="Times New Roman" w:hAnsi="Times New Roman"/>
                <w:sz w:val="24"/>
                <w:szCs w:val="24"/>
              </w:rPr>
            </w:pPr>
          </w:p>
        </w:tc>
        <w:tc>
          <w:tcPr>
            <w:tcW w:w="1397" w:type="dxa"/>
            <w:vAlign w:val="center"/>
          </w:tcPr>
          <w:p w14:paraId="0106FD25">
            <w:pPr>
              <w:pStyle w:val="130"/>
              <w:ind w:left="881" w:hanging="881"/>
              <w:rPr>
                <w:rFonts w:ascii="Times New Roman" w:hAnsi="Times New Roman"/>
                <w:sz w:val="24"/>
                <w:szCs w:val="24"/>
              </w:rPr>
            </w:pPr>
          </w:p>
        </w:tc>
        <w:tc>
          <w:tcPr>
            <w:tcW w:w="2138" w:type="dxa"/>
            <w:vAlign w:val="center"/>
          </w:tcPr>
          <w:p w14:paraId="042A2825">
            <w:pPr>
              <w:pStyle w:val="130"/>
              <w:ind w:left="881" w:hanging="881"/>
              <w:rPr>
                <w:rFonts w:ascii="Times New Roman" w:hAnsi="Times New Roman"/>
                <w:sz w:val="24"/>
                <w:szCs w:val="24"/>
              </w:rPr>
            </w:pPr>
          </w:p>
        </w:tc>
      </w:tr>
      <w:tr w14:paraId="08E5B9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5" w:hRule="atLeast"/>
          <w:jc w:val="center"/>
        </w:trPr>
        <w:tc>
          <w:tcPr>
            <w:tcW w:w="1575" w:type="dxa"/>
            <w:vAlign w:val="center"/>
          </w:tcPr>
          <w:p w14:paraId="648EAC8D">
            <w:pPr>
              <w:pStyle w:val="130"/>
              <w:ind w:left="881" w:hanging="881"/>
              <w:jc w:val="center"/>
              <w:rPr>
                <w:rFonts w:ascii="Times New Roman" w:hAnsi="Times New Roman"/>
                <w:sz w:val="24"/>
                <w:szCs w:val="24"/>
              </w:rPr>
            </w:pPr>
          </w:p>
        </w:tc>
        <w:tc>
          <w:tcPr>
            <w:tcW w:w="1240" w:type="dxa"/>
            <w:vAlign w:val="center"/>
          </w:tcPr>
          <w:p w14:paraId="507E99FA">
            <w:pPr>
              <w:pStyle w:val="130"/>
              <w:ind w:left="881" w:hanging="881"/>
              <w:rPr>
                <w:rFonts w:ascii="Times New Roman" w:hAnsi="Times New Roman"/>
                <w:sz w:val="24"/>
                <w:szCs w:val="24"/>
              </w:rPr>
            </w:pPr>
          </w:p>
        </w:tc>
        <w:tc>
          <w:tcPr>
            <w:tcW w:w="827" w:type="dxa"/>
            <w:vAlign w:val="center"/>
          </w:tcPr>
          <w:p w14:paraId="23E5F638">
            <w:pPr>
              <w:pStyle w:val="130"/>
              <w:ind w:left="881" w:hanging="881"/>
              <w:rPr>
                <w:rFonts w:ascii="Times New Roman" w:hAnsi="Times New Roman"/>
                <w:sz w:val="24"/>
                <w:szCs w:val="24"/>
              </w:rPr>
            </w:pPr>
          </w:p>
        </w:tc>
        <w:tc>
          <w:tcPr>
            <w:tcW w:w="1716" w:type="dxa"/>
            <w:vAlign w:val="center"/>
          </w:tcPr>
          <w:p w14:paraId="4823997C">
            <w:pPr>
              <w:pStyle w:val="130"/>
              <w:ind w:left="881" w:hanging="881"/>
              <w:rPr>
                <w:rFonts w:ascii="Times New Roman" w:hAnsi="Times New Roman"/>
                <w:sz w:val="24"/>
                <w:szCs w:val="24"/>
              </w:rPr>
            </w:pPr>
          </w:p>
        </w:tc>
        <w:tc>
          <w:tcPr>
            <w:tcW w:w="1397" w:type="dxa"/>
            <w:vAlign w:val="center"/>
          </w:tcPr>
          <w:p w14:paraId="18C40D68">
            <w:pPr>
              <w:pStyle w:val="130"/>
              <w:ind w:left="881" w:hanging="881"/>
              <w:rPr>
                <w:rFonts w:ascii="Times New Roman" w:hAnsi="Times New Roman"/>
                <w:sz w:val="24"/>
                <w:szCs w:val="24"/>
              </w:rPr>
            </w:pPr>
          </w:p>
        </w:tc>
        <w:tc>
          <w:tcPr>
            <w:tcW w:w="2138" w:type="dxa"/>
            <w:vAlign w:val="center"/>
          </w:tcPr>
          <w:p w14:paraId="3442FCB7">
            <w:pPr>
              <w:pStyle w:val="130"/>
              <w:ind w:left="881" w:hanging="881"/>
              <w:rPr>
                <w:rFonts w:ascii="Times New Roman" w:hAnsi="Times New Roman"/>
                <w:sz w:val="24"/>
                <w:szCs w:val="24"/>
              </w:rPr>
            </w:pPr>
          </w:p>
        </w:tc>
      </w:tr>
      <w:tr w14:paraId="7BFCF5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5" w:hRule="atLeast"/>
          <w:jc w:val="center"/>
        </w:trPr>
        <w:tc>
          <w:tcPr>
            <w:tcW w:w="1575" w:type="dxa"/>
            <w:vAlign w:val="center"/>
          </w:tcPr>
          <w:p w14:paraId="6FFF70C8">
            <w:pPr>
              <w:pStyle w:val="130"/>
              <w:ind w:left="881" w:hanging="881"/>
              <w:jc w:val="center"/>
              <w:rPr>
                <w:rFonts w:ascii="Times New Roman" w:hAnsi="Times New Roman"/>
                <w:sz w:val="24"/>
                <w:szCs w:val="24"/>
              </w:rPr>
            </w:pPr>
          </w:p>
        </w:tc>
        <w:tc>
          <w:tcPr>
            <w:tcW w:w="1240" w:type="dxa"/>
            <w:vAlign w:val="center"/>
          </w:tcPr>
          <w:p w14:paraId="3596A7E3">
            <w:pPr>
              <w:pStyle w:val="130"/>
              <w:ind w:left="881" w:hanging="881"/>
              <w:rPr>
                <w:rFonts w:ascii="Times New Roman" w:hAnsi="Times New Roman"/>
                <w:sz w:val="24"/>
                <w:szCs w:val="24"/>
              </w:rPr>
            </w:pPr>
          </w:p>
        </w:tc>
        <w:tc>
          <w:tcPr>
            <w:tcW w:w="827" w:type="dxa"/>
            <w:vAlign w:val="center"/>
          </w:tcPr>
          <w:p w14:paraId="6FB3736C">
            <w:pPr>
              <w:pStyle w:val="130"/>
              <w:ind w:left="881" w:hanging="881"/>
              <w:rPr>
                <w:rFonts w:ascii="Times New Roman" w:hAnsi="Times New Roman"/>
                <w:sz w:val="24"/>
                <w:szCs w:val="24"/>
              </w:rPr>
            </w:pPr>
          </w:p>
        </w:tc>
        <w:tc>
          <w:tcPr>
            <w:tcW w:w="1716" w:type="dxa"/>
            <w:vAlign w:val="center"/>
          </w:tcPr>
          <w:p w14:paraId="525FECC5">
            <w:pPr>
              <w:pStyle w:val="130"/>
              <w:ind w:left="881" w:hanging="881"/>
              <w:rPr>
                <w:rFonts w:ascii="Times New Roman" w:hAnsi="Times New Roman"/>
                <w:sz w:val="24"/>
                <w:szCs w:val="24"/>
              </w:rPr>
            </w:pPr>
          </w:p>
        </w:tc>
        <w:tc>
          <w:tcPr>
            <w:tcW w:w="1397" w:type="dxa"/>
            <w:vAlign w:val="center"/>
          </w:tcPr>
          <w:p w14:paraId="450B2931">
            <w:pPr>
              <w:pStyle w:val="130"/>
              <w:ind w:left="881" w:hanging="881"/>
              <w:rPr>
                <w:rFonts w:ascii="Times New Roman" w:hAnsi="Times New Roman"/>
                <w:sz w:val="24"/>
                <w:szCs w:val="24"/>
              </w:rPr>
            </w:pPr>
          </w:p>
        </w:tc>
        <w:tc>
          <w:tcPr>
            <w:tcW w:w="2138" w:type="dxa"/>
            <w:vAlign w:val="center"/>
          </w:tcPr>
          <w:p w14:paraId="58381EA8">
            <w:pPr>
              <w:pStyle w:val="130"/>
              <w:ind w:left="881" w:hanging="881"/>
              <w:rPr>
                <w:rFonts w:ascii="Times New Roman" w:hAnsi="Times New Roman"/>
                <w:sz w:val="24"/>
                <w:szCs w:val="24"/>
              </w:rPr>
            </w:pPr>
          </w:p>
        </w:tc>
      </w:tr>
    </w:tbl>
    <w:p w14:paraId="325FA9F1">
      <w:pPr>
        <w:pStyle w:val="22"/>
        <w:ind w:left="480" w:firstLine="480"/>
        <w:rPr>
          <w:rFonts w:ascii="Times New Roman" w:hAnsi="Times New Roman" w:cs="Times New Roman"/>
          <w:lang w:val="en-US"/>
        </w:rPr>
      </w:pPr>
    </w:p>
    <w:p w14:paraId="1B075280">
      <w:pPr>
        <w:pStyle w:val="22"/>
        <w:ind w:left="480" w:firstLine="480"/>
        <w:rPr>
          <w:rFonts w:ascii="Times New Roman" w:hAnsi="Times New Roman" w:cs="Times New Roman"/>
          <w:lang w:val="en-US"/>
        </w:rPr>
      </w:pPr>
    </w:p>
    <w:p w14:paraId="02F4CB13">
      <w:pPr>
        <w:widowControl/>
        <w:rPr>
          <w:rFonts w:ascii="Times New Roman" w:hAnsi="Times New Roman" w:cs="Times New Roman"/>
          <w:b/>
          <w:bCs/>
          <w:color w:val="auto"/>
          <w:lang w:val="en-US"/>
        </w:rPr>
      </w:pPr>
      <w:bookmarkStart w:id="304" w:name="_Toc508871759"/>
      <w:r>
        <w:rPr>
          <w:rFonts w:ascii="Times New Roman" w:hAnsi="Times New Roman" w:cs="Times New Roman"/>
        </w:rPr>
        <w:br w:type="page"/>
      </w:r>
    </w:p>
    <w:bookmarkEnd w:id="304"/>
    <w:p w14:paraId="041F51D3">
      <w:pPr>
        <w:spacing w:line="300" w:lineRule="auto"/>
        <w:jc w:val="center"/>
        <w:outlineLvl w:val="1"/>
        <w:rPr>
          <w:rFonts w:asciiTheme="minorEastAsia" w:hAnsiTheme="minorEastAsia" w:eastAsiaTheme="minorEastAsia"/>
          <w:b/>
          <w:bCs/>
          <w:sz w:val="32"/>
          <w:szCs w:val="32"/>
        </w:rPr>
      </w:pPr>
      <w:r>
        <w:rPr>
          <w:rFonts w:hint="eastAsia" w:asciiTheme="minorEastAsia" w:hAnsiTheme="minorEastAsia" w:eastAsiaTheme="minorEastAsia"/>
          <w:b/>
          <w:bCs/>
          <w:sz w:val="32"/>
          <w:szCs w:val="32"/>
        </w:rPr>
        <w:t>九、商务或技术偏差表</w:t>
      </w:r>
    </w:p>
    <w:p w14:paraId="4092CECA">
      <w:pPr>
        <w:spacing w:line="360" w:lineRule="auto"/>
        <w:jc w:val="center"/>
        <w:rPr>
          <w:rFonts w:ascii="Times New Roman" w:hAnsi="Times New Roman" w:cs="Times New Roman"/>
          <w:b/>
        </w:rPr>
      </w:pPr>
      <w:r>
        <w:rPr>
          <w:rFonts w:ascii="Times New Roman" w:hAnsi="Times New Roman" w:cs="Times New Roman"/>
          <w:b/>
        </w:rPr>
        <w:t>商务或技术偏差表</w:t>
      </w:r>
    </w:p>
    <w:tbl>
      <w:tblPr>
        <w:tblStyle w:val="23"/>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904"/>
        <w:gridCol w:w="1331"/>
        <w:gridCol w:w="992"/>
        <w:gridCol w:w="2551"/>
        <w:gridCol w:w="1985"/>
        <w:gridCol w:w="1417"/>
      </w:tblGrid>
      <w:tr w14:paraId="5F9AB56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904" w:type="dxa"/>
            <w:vMerge w:val="restart"/>
            <w:tcBorders>
              <w:top w:val="single" w:color="000000" w:sz="4" w:space="0"/>
              <w:left w:val="single" w:color="000000" w:sz="4" w:space="0"/>
              <w:bottom w:val="single" w:color="000000" w:sz="4" w:space="0"/>
              <w:right w:val="single" w:color="000000" w:sz="4" w:space="0"/>
            </w:tcBorders>
            <w:vAlign w:val="center"/>
          </w:tcPr>
          <w:p w14:paraId="5B1402A0">
            <w:pPr>
              <w:overflowPunct w:val="0"/>
              <w:topLinePunct/>
              <w:spacing w:line="360" w:lineRule="auto"/>
              <w:ind w:right="14"/>
              <w:jc w:val="center"/>
              <w:rPr>
                <w:rFonts w:ascii="Times New Roman" w:hAnsi="Times New Roman" w:eastAsia="仿宋" w:cs="Times New Roman"/>
                <w:position w:val="-9"/>
              </w:rPr>
            </w:pPr>
            <w:r>
              <w:rPr>
                <w:rFonts w:ascii="Times New Roman" w:hAnsi="Times New Roman" w:eastAsia="仿宋" w:cs="Times New Roman"/>
                <w:position w:val="-9"/>
              </w:rPr>
              <w:t>商务或技术偏差</w:t>
            </w:r>
          </w:p>
        </w:tc>
        <w:tc>
          <w:tcPr>
            <w:tcW w:w="1331" w:type="dxa"/>
            <w:tcBorders>
              <w:top w:val="single" w:color="000000" w:sz="4" w:space="0"/>
              <w:left w:val="single" w:color="000000" w:sz="4" w:space="0"/>
              <w:bottom w:val="single" w:color="000000" w:sz="4" w:space="0"/>
              <w:right w:val="single" w:color="000000" w:sz="4" w:space="0"/>
            </w:tcBorders>
            <w:vAlign w:val="center"/>
          </w:tcPr>
          <w:p w14:paraId="29B58A38">
            <w:pPr>
              <w:overflowPunct w:val="0"/>
              <w:topLinePunct/>
              <w:spacing w:line="360" w:lineRule="auto"/>
              <w:ind w:right="14"/>
              <w:jc w:val="center"/>
              <w:rPr>
                <w:rFonts w:ascii="Times New Roman" w:hAnsi="Times New Roman" w:eastAsia="仿宋" w:cs="Times New Roman"/>
                <w:position w:val="-9"/>
              </w:rPr>
            </w:pPr>
            <w:r>
              <w:rPr>
                <w:rFonts w:ascii="Times New Roman" w:hAnsi="Times New Roman" w:eastAsia="仿宋" w:cs="Times New Roman"/>
                <w:position w:val="-9"/>
              </w:rPr>
              <w:t>条目</w:t>
            </w:r>
          </w:p>
        </w:tc>
        <w:tc>
          <w:tcPr>
            <w:tcW w:w="992" w:type="dxa"/>
            <w:tcBorders>
              <w:top w:val="single" w:color="000000" w:sz="4" w:space="0"/>
              <w:left w:val="single" w:color="000000" w:sz="4" w:space="0"/>
              <w:bottom w:val="single" w:color="000000" w:sz="4" w:space="0"/>
              <w:right w:val="single" w:color="000000" w:sz="4" w:space="0"/>
            </w:tcBorders>
            <w:vAlign w:val="center"/>
          </w:tcPr>
          <w:p w14:paraId="348454DF">
            <w:pPr>
              <w:overflowPunct w:val="0"/>
              <w:topLinePunct/>
              <w:spacing w:line="360" w:lineRule="auto"/>
              <w:ind w:right="14"/>
              <w:jc w:val="center"/>
              <w:rPr>
                <w:rFonts w:ascii="Times New Roman" w:hAnsi="Times New Roman" w:eastAsia="仿宋" w:cs="Times New Roman"/>
                <w:position w:val="-9"/>
              </w:rPr>
            </w:pPr>
            <w:r>
              <w:rPr>
                <w:rFonts w:ascii="Times New Roman" w:hAnsi="Times New Roman" w:eastAsia="仿宋" w:cs="Times New Roman"/>
                <w:position w:val="-9"/>
              </w:rPr>
              <w:t>页码</w:t>
            </w:r>
          </w:p>
        </w:tc>
        <w:tc>
          <w:tcPr>
            <w:tcW w:w="2551" w:type="dxa"/>
            <w:tcBorders>
              <w:top w:val="single" w:color="000000" w:sz="4" w:space="0"/>
              <w:left w:val="single" w:color="000000" w:sz="4" w:space="0"/>
              <w:bottom w:val="single" w:color="000000" w:sz="4" w:space="0"/>
              <w:right w:val="single" w:color="000000" w:sz="4" w:space="0"/>
            </w:tcBorders>
            <w:vAlign w:val="center"/>
          </w:tcPr>
          <w:p w14:paraId="53B8B046">
            <w:pPr>
              <w:overflowPunct w:val="0"/>
              <w:topLinePunct/>
              <w:spacing w:line="360" w:lineRule="auto"/>
              <w:ind w:right="14"/>
              <w:jc w:val="center"/>
              <w:rPr>
                <w:rFonts w:ascii="Times New Roman" w:hAnsi="Times New Roman" w:eastAsia="仿宋" w:cs="Times New Roman"/>
                <w:position w:val="-9"/>
              </w:rPr>
            </w:pPr>
            <w:r>
              <w:rPr>
                <w:rFonts w:hint="eastAsia" w:ascii="Times New Roman" w:hAnsi="Times New Roman" w:eastAsia="仿宋" w:cs="Times New Roman"/>
                <w:position w:val="-9"/>
                <w:lang w:eastAsia="zh-CN"/>
              </w:rPr>
              <w:t>谈判</w:t>
            </w:r>
            <w:r>
              <w:rPr>
                <w:rFonts w:ascii="Times New Roman" w:hAnsi="Times New Roman" w:eastAsia="仿宋" w:cs="Times New Roman"/>
                <w:position w:val="-9"/>
              </w:rPr>
              <w:t>文件规定</w:t>
            </w:r>
          </w:p>
        </w:tc>
        <w:tc>
          <w:tcPr>
            <w:tcW w:w="1985" w:type="dxa"/>
            <w:tcBorders>
              <w:top w:val="single" w:color="000000" w:sz="4" w:space="0"/>
              <w:left w:val="single" w:color="000000" w:sz="4" w:space="0"/>
              <w:bottom w:val="single" w:color="000000" w:sz="4" w:space="0"/>
              <w:right w:val="single" w:color="000000" w:sz="4" w:space="0"/>
            </w:tcBorders>
            <w:vAlign w:val="center"/>
          </w:tcPr>
          <w:p w14:paraId="6F4F4F49">
            <w:pPr>
              <w:overflowPunct w:val="0"/>
              <w:topLinePunct/>
              <w:spacing w:line="360" w:lineRule="auto"/>
              <w:ind w:right="14"/>
              <w:jc w:val="center"/>
              <w:rPr>
                <w:rFonts w:ascii="Times New Roman" w:hAnsi="Times New Roman" w:eastAsia="仿宋" w:cs="Times New Roman"/>
                <w:position w:val="-9"/>
              </w:rPr>
            </w:pPr>
            <w:r>
              <w:rPr>
                <w:rFonts w:ascii="Times New Roman" w:hAnsi="Times New Roman" w:eastAsia="仿宋" w:cs="Times New Roman"/>
                <w:position w:val="-9"/>
              </w:rPr>
              <w:t>偏差</w:t>
            </w:r>
          </w:p>
        </w:tc>
        <w:tc>
          <w:tcPr>
            <w:tcW w:w="1417" w:type="dxa"/>
            <w:tcBorders>
              <w:top w:val="single" w:color="000000" w:sz="4" w:space="0"/>
              <w:left w:val="single" w:color="000000" w:sz="4" w:space="0"/>
              <w:bottom w:val="single" w:color="000000" w:sz="4" w:space="0"/>
              <w:right w:val="single" w:color="000000" w:sz="4" w:space="0"/>
            </w:tcBorders>
            <w:vAlign w:val="center"/>
          </w:tcPr>
          <w:p w14:paraId="50A185E6">
            <w:pPr>
              <w:overflowPunct w:val="0"/>
              <w:topLinePunct/>
              <w:spacing w:line="360" w:lineRule="auto"/>
              <w:ind w:right="14"/>
              <w:jc w:val="center"/>
              <w:rPr>
                <w:rFonts w:ascii="Times New Roman" w:hAnsi="Times New Roman" w:eastAsia="仿宋" w:cs="Times New Roman"/>
                <w:position w:val="-9"/>
              </w:rPr>
            </w:pPr>
            <w:r>
              <w:rPr>
                <w:rFonts w:ascii="Times New Roman" w:hAnsi="Times New Roman" w:eastAsia="仿宋" w:cs="Times New Roman"/>
                <w:position w:val="-9"/>
              </w:rPr>
              <w:t>备注</w:t>
            </w:r>
          </w:p>
        </w:tc>
      </w:tr>
      <w:tr w14:paraId="42CA3D2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904" w:type="dxa"/>
            <w:vMerge w:val="continue"/>
            <w:tcBorders>
              <w:top w:val="single" w:color="000000" w:sz="4" w:space="0"/>
              <w:left w:val="single" w:color="000000" w:sz="4" w:space="0"/>
              <w:bottom w:val="single" w:color="000000" w:sz="4" w:space="0"/>
              <w:right w:val="single" w:color="000000" w:sz="4" w:space="0"/>
            </w:tcBorders>
            <w:vAlign w:val="center"/>
          </w:tcPr>
          <w:p w14:paraId="4D2EED84">
            <w:pPr>
              <w:spacing w:line="360" w:lineRule="auto"/>
              <w:rPr>
                <w:rFonts w:ascii="Times New Roman" w:hAnsi="Times New Roman" w:eastAsia="仿宋" w:cs="Times New Roman"/>
                <w:position w:val="-9"/>
              </w:rPr>
            </w:pPr>
          </w:p>
        </w:tc>
        <w:tc>
          <w:tcPr>
            <w:tcW w:w="1331" w:type="dxa"/>
            <w:tcBorders>
              <w:top w:val="single" w:color="000000" w:sz="4" w:space="0"/>
              <w:left w:val="single" w:color="000000" w:sz="4" w:space="0"/>
              <w:bottom w:val="single" w:color="000000" w:sz="4" w:space="0"/>
              <w:right w:val="single" w:color="000000" w:sz="4" w:space="0"/>
            </w:tcBorders>
            <w:vAlign w:val="center"/>
          </w:tcPr>
          <w:p w14:paraId="1C5AAF68">
            <w:pPr>
              <w:overflowPunct w:val="0"/>
              <w:topLinePunct/>
              <w:spacing w:line="360" w:lineRule="auto"/>
              <w:ind w:right="14"/>
              <w:jc w:val="center"/>
              <w:rPr>
                <w:rFonts w:ascii="Times New Roman" w:hAnsi="Times New Roman" w:eastAsia="仿宋" w:cs="Times New Roman"/>
                <w:position w:val="-9"/>
              </w:rPr>
            </w:pPr>
          </w:p>
        </w:tc>
        <w:tc>
          <w:tcPr>
            <w:tcW w:w="992" w:type="dxa"/>
            <w:tcBorders>
              <w:top w:val="single" w:color="000000" w:sz="4" w:space="0"/>
              <w:left w:val="single" w:color="000000" w:sz="4" w:space="0"/>
              <w:bottom w:val="single" w:color="000000" w:sz="4" w:space="0"/>
              <w:right w:val="single" w:color="000000" w:sz="4" w:space="0"/>
            </w:tcBorders>
            <w:vAlign w:val="center"/>
          </w:tcPr>
          <w:p w14:paraId="5E07E313">
            <w:pPr>
              <w:overflowPunct w:val="0"/>
              <w:topLinePunct/>
              <w:spacing w:line="360" w:lineRule="auto"/>
              <w:ind w:right="14"/>
              <w:jc w:val="center"/>
              <w:rPr>
                <w:rFonts w:ascii="Times New Roman" w:hAnsi="Times New Roman" w:eastAsia="仿宋" w:cs="Times New Roman"/>
                <w:position w:val="-9"/>
              </w:rPr>
            </w:pPr>
          </w:p>
        </w:tc>
        <w:tc>
          <w:tcPr>
            <w:tcW w:w="2551" w:type="dxa"/>
            <w:tcBorders>
              <w:top w:val="single" w:color="000000" w:sz="4" w:space="0"/>
              <w:left w:val="single" w:color="000000" w:sz="4" w:space="0"/>
              <w:bottom w:val="single" w:color="000000" w:sz="4" w:space="0"/>
              <w:right w:val="single" w:color="000000" w:sz="4" w:space="0"/>
            </w:tcBorders>
            <w:vAlign w:val="center"/>
          </w:tcPr>
          <w:p w14:paraId="6F9F35E1">
            <w:pPr>
              <w:overflowPunct w:val="0"/>
              <w:topLinePunct/>
              <w:spacing w:line="360" w:lineRule="auto"/>
              <w:ind w:right="14"/>
              <w:jc w:val="center"/>
              <w:rPr>
                <w:rFonts w:ascii="Times New Roman" w:hAnsi="Times New Roman" w:eastAsia="仿宋" w:cs="Times New Roman"/>
                <w:position w:val="-9"/>
              </w:rPr>
            </w:pPr>
          </w:p>
        </w:tc>
        <w:tc>
          <w:tcPr>
            <w:tcW w:w="1985" w:type="dxa"/>
            <w:tcBorders>
              <w:top w:val="single" w:color="000000" w:sz="4" w:space="0"/>
              <w:left w:val="single" w:color="000000" w:sz="4" w:space="0"/>
              <w:bottom w:val="single" w:color="000000" w:sz="4" w:space="0"/>
              <w:right w:val="single" w:color="000000" w:sz="4" w:space="0"/>
            </w:tcBorders>
            <w:vAlign w:val="center"/>
          </w:tcPr>
          <w:p w14:paraId="49E2DABF">
            <w:pPr>
              <w:overflowPunct w:val="0"/>
              <w:topLinePunct/>
              <w:spacing w:line="360" w:lineRule="auto"/>
              <w:ind w:right="14"/>
              <w:jc w:val="center"/>
              <w:rPr>
                <w:rFonts w:ascii="Times New Roman" w:hAnsi="Times New Roman" w:eastAsia="仿宋" w:cs="Times New Roman"/>
                <w:position w:val="-9"/>
              </w:rPr>
            </w:pPr>
          </w:p>
        </w:tc>
        <w:tc>
          <w:tcPr>
            <w:tcW w:w="1417" w:type="dxa"/>
            <w:tcBorders>
              <w:top w:val="single" w:color="000000" w:sz="4" w:space="0"/>
              <w:left w:val="single" w:color="000000" w:sz="4" w:space="0"/>
              <w:bottom w:val="single" w:color="000000" w:sz="4" w:space="0"/>
              <w:right w:val="single" w:color="000000" w:sz="4" w:space="0"/>
            </w:tcBorders>
            <w:vAlign w:val="center"/>
          </w:tcPr>
          <w:p w14:paraId="1EEE9B58">
            <w:pPr>
              <w:overflowPunct w:val="0"/>
              <w:topLinePunct/>
              <w:spacing w:line="360" w:lineRule="auto"/>
              <w:ind w:right="14"/>
              <w:jc w:val="center"/>
              <w:rPr>
                <w:rFonts w:ascii="Times New Roman" w:hAnsi="Times New Roman" w:eastAsia="仿宋" w:cs="Times New Roman"/>
                <w:position w:val="-9"/>
              </w:rPr>
            </w:pPr>
          </w:p>
        </w:tc>
      </w:tr>
      <w:tr w14:paraId="22DBF6A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904" w:type="dxa"/>
            <w:vMerge w:val="continue"/>
            <w:tcBorders>
              <w:top w:val="single" w:color="000000" w:sz="4" w:space="0"/>
              <w:left w:val="single" w:color="000000" w:sz="4" w:space="0"/>
              <w:bottom w:val="single" w:color="000000" w:sz="4" w:space="0"/>
              <w:right w:val="single" w:color="000000" w:sz="4" w:space="0"/>
            </w:tcBorders>
            <w:vAlign w:val="center"/>
          </w:tcPr>
          <w:p w14:paraId="63991E97">
            <w:pPr>
              <w:spacing w:line="360" w:lineRule="auto"/>
              <w:rPr>
                <w:rFonts w:ascii="Times New Roman" w:hAnsi="Times New Roman" w:eastAsia="仿宋" w:cs="Times New Roman"/>
                <w:position w:val="-9"/>
              </w:rPr>
            </w:pPr>
          </w:p>
        </w:tc>
        <w:tc>
          <w:tcPr>
            <w:tcW w:w="1331" w:type="dxa"/>
            <w:tcBorders>
              <w:top w:val="single" w:color="000000" w:sz="4" w:space="0"/>
              <w:left w:val="single" w:color="000000" w:sz="4" w:space="0"/>
              <w:bottom w:val="single" w:color="000000" w:sz="4" w:space="0"/>
              <w:right w:val="single" w:color="000000" w:sz="4" w:space="0"/>
            </w:tcBorders>
            <w:vAlign w:val="center"/>
          </w:tcPr>
          <w:p w14:paraId="043778C0">
            <w:pPr>
              <w:overflowPunct w:val="0"/>
              <w:topLinePunct/>
              <w:spacing w:line="360" w:lineRule="auto"/>
              <w:ind w:right="14"/>
              <w:jc w:val="center"/>
              <w:rPr>
                <w:rFonts w:ascii="Times New Roman" w:hAnsi="Times New Roman" w:eastAsia="仿宋" w:cs="Times New Roman"/>
                <w:position w:val="-9"/>
              </w:rPr>
            </w:pPr>
          </w:p>
        </w:tc>
        <w:tc>
          <w:tcPr>
            <w:tcW w:w="992" w:type="dxa"/>
            <w:tcBorders>
              <w:top w:val="single" w:color="000000" w:sz="4" w:space="0"/>
              <w:left w:val="single" w:color="000000" w:sz="4" w:space="0"/>
              <w:bottom w:val="single" w:color="000000" w:sz="4" w:space="0"/>
              <w:right w:val="single" w:color="000000" w:sz="4" w:space="0"/>
            </w:tcBorders>
            <w:vAlign w:val="center"/>
          </w:tcPr>
          <w:p w14:paraId="5F2014D2">
            <w:pPr>
              <w:overflowPunct w:val="0"/>
              <w:topLinePunct/>
              <w:spacing w:line="360" w:lineRule="auto"/>
              <w:ind w:right="14"/>
              <w:jc w:val="center"/>
              <w:rPr>
                <w:rFonts w:ascii="Times New Roman" w:hAnsi="Times New Roman" w:eastAsia="仿宋" w:cs="Times New Roman"/>
                <w:position w:val="-9"/>
              </w:rPr>
            </w:pPr>
          </w:p>
        </w:tc>
        <w:tc>
          <w:tcPr>
            <w:tcW w:w="2551" w:type="dxa"/>
            <w:tcBorders>
              <w:top w:val="single" w:color="000000" w:sz="4" w:space="0"/>
              <w:left w:val="single" w:color="000000" w:sz="4" w:space="0"/>
              <w:bottom w:val="single" w:color="000000" w:sz="4" w:space="0"/>
              <w:right w:val="single" w:color="000000" w:sz="4" w:space="0"/>
            </w:tcBorders>
            <w:vAlign w:val="center"/>
          </w:tcPr>
          <w:p w14:paraId="6CCBA988">
            <w:pPr>
              <w:overflowPunct w:val="0"/>
              <w:topLinePunct/>
              <w:spacing w:line="360" w:lineRule="auto"/>
              <w:ind w:right="14"/>
              <w:jc w:val="center"/>
              <w:rPr>
                <w:rFonts w:ascii="Times New Roman" w:hAnsi="Times New Roman" w:eastAsia="仿宋" w:cs="Times New Roman"/>
                <w:position w:val="-9"/>
              </w:rPr>
            </w:pPr>
          </w:p>
        </w:tc>
        <w:tc>
          <w:tcPr>
            <w:tcW w:w="1985" w:type="dxa"/>
            <w:tcBorders>
              <w:top w:val="single" w:color="000000" w:sz="4" w:space="0"/>
              <w:left w:val="single" w:color="000000" w:sz="4" w:space="0"/>
              <w:bottom w:val="single" w:color="000000" w:sz="4" w:space="0"/>
              <w:right w:val="single" w:color="000000" w:sz="4" w:space="0"/>
            </w:tcBorders>
            <w:vAlign w:val="center"/>
          </w:tcPr>
          <w:p w14:paraId="5C33C02A">
            <w:pPr>
              <w:overflowPunct w:val="0"/>
              <w:topLinePunct/>
              <w:spacing w:line="360" w:lineRule="auto"/>
              <w:ind w:right="14"/>
              <w:jc w:val="center"/>
              <w:rPr>
                <w:rFonts w:ascii="Times New Roman" w:hAnsi="Times New Roman" w:eastAsia="仿宋" w:cs="Times New Roman"/>
                <w:position w:val="-9"/>
              </w:rPr>
            </w:pPr>
          </w:p>
        </w:tc>
        <w:tc>
          <w:tcPr>
            <w:tcW w:w="1417" w:type="dxa"/>
            <w:tcBorders>
              <w:top w:val="single" w:color="000000" w:sz="4" w:space="0"/>
              <w:left w:val="single" w:color="000000" w:sz="4" w:space="0"/>
              <w:bottom w:val="single" w:color="000000" w:sz="4" w:space="0"/>
              <w:right w:val="single" w:color="000000" w:sz="4" w:space="0"/>
            </w:tcBorders>
            <w:vAlign w:val="center"/>
          </w:tcPr>
          <w:p w14:paraId="485FEB8A">
            <w:pPr>
              <w:overflowPunct w:val="0"/>
              <w:topLinePunct/>
              <w:spacing w:line="360" w:lineRule="auto"/>
              <w:ind w:right="14"/>
              <w:jc w:val="center"/>
              <w:rPr>
                <w:rFonts w:ascii="Times New Roman" w:hAnsi="Times New Roman" w:eastAsia="仿宋" w:cs="Times New Roman"/>
                <w:position w:val="-9"/>
              </w:rPr>
            </w:pPr>
          </w:p>
        </w:tc>
      </w:tr>
      <w:tr w14:paraId="44CED28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904" w:type="dxa"/>
            <w:vMerge w:val="continue"/>
            <w:tcBorders>
              <w:top w:val="single" w:color="000000" w:sz="4" w:space="0"/>
              <w:left w:val="single" w:color="000000" w:sz="4" w:space="0"/>
              <w:bottom w:val="single" w:color="000000" w:sz="4" w:space="0"/>
              <w:right w:val="single" w:color="000000" w:sz="4" w:space="0"/>
            </w:tcBorders>
            <w:vAlign w:val="center"/>
          </w:tcPr>
          <w:p w14:paraId="6B917519">
            <w:pPr>
              <w:spacing w:line="360" w:lineRule="auto"/>
              <w:rPr>
                <w:rFonts w:ascii="Times New Roman" w:hAnsi="Times New Roman" w:eastAsia="仿宋" w:cs="Times New Roman"/>
                <w:position w:val="-9"/>
              </w:rPr>
            </w:pPr>
          </w:p>
        </w:tc>
        <w:tc>
          <w:tcPr>
            <w:tcW w:w="1331" w:type="dxa"/>
            <w:tcBorders>
              <w:top w:val="single" w:color="000000" w:sz="4" w:space="0"/>
              <w:left w:val="single" w:color="000000" w:sz="4" w:space="0"/>
              <w:bottom w:val="single" w:color="000000" w:sz="4" w:space="0"/>
              <w:right w:val="single" w:color="000000" w:sz="4" w:space="0"/>
            </w:tcBorders>
            <w:vAlign w:val="center"/>
          </w:tcPr>
          <w:p w14:paraId="46462E87">
            <w:pPr>
              <w:overflowPunct w:val="0"/>
              <w:topLinePunct/>
              <w:spacing w:line="360" w:lineRule="auto"/>
              <w:ind w:right="14"/>
              <w:jc w:val="center"/>
              <w:rPr>
                <w:rFonts w:ascii="Times New Roman" w:hAnsi="Times New Roman" w:eastAsia="仿宋" w:cs="Times New Roman"/>
                <w:position w:val="-9"/>
              </w:rPr>
            </w:pPr>
          </w:p>
        </w:tc>
        <w:tc>
          <w:tcPr>
            <w:tcW w:w="992" w:type="dxa"/>
            <w:tcBorders>
              <w:top w:val="single" w:color="000000" w:sz="4" w:space="0"/>
              <w:left w:val="single" w:color="000000" w:sz="4" w:space="0"/>
              <w:bottom w:val="single" w:color="000000" w:sz="4" w:space="0"/>
              <w:right w:val="single" w:color="000000" w:sz="4" w:space="0"/>
            </w:tcBorders>
            <w:vAlign w:val="center"/>
          </w:tcPr>
          <w:p w14:paraId="0D73C0FF">
            <w:pPr>
              <w:overflowPunct w:val="0"/>
              <w:topLinePunct/>
              <w:spacing w:line="360" w:lineRule="auto"/>
              <w:ind w:right="14"/>
              <w:jc w:val="center"/>
              <w:rPr>
                <w:rFonts w:ascii="Times New Roman" w:hAnsi="Times New Roman" w:eastAsia="仿宋" w:cs="Times New Roman"/>
                <w:position w:val="-9"/>
              </w:rPr>
            </w:pPr>
          </w:p>
        </w:tc>
        <w:tc>
          <w:tcPr>
            <w:tcW w:w="2551" w:type="dxa"/>
            <w:tcBorders>
              <w:top w:val="single" w:color="000000" w:sz="4" w:space="0"/>
              <w:left w:val="single" w:color="000000" w:sz="4" w:space="0"/>
              <w:bottom w:val="single" w:color="000000" w:sz="4" w:space="0"/>
              <w:right w:val="single" w:color="000000" w:sz="4" w:space="0"/>
            </w:tcBorders>
            <w:vAlign w:val="center"/>
          </w:tcPr>
          <w:p w14:paraId="2CBFA2D9">
            <w:pPr>
              <w:overflowPunct w:val="0"/>
              <w:topLinePunct/>
              <w:spacing w:line="360" w:lineRule="auto"/>
              <w:ind w:right="14"/>
              <w:jc w:val="center"/>
              <w:rPr>
                <w:rFonts w:ascii="Times New Roman" w:hAnsi="Times New Roman" w:eastAsia="仿宋" w:cs="Times New Roman"/>
                <w:position w:val="-9"/>
              </w:rPr>
            </w:pPr>
          </w:p>
        </w:tc>
        <w:tc>
          <w:tcPr>
            <w:tcW w:w="1985" w:type="dxa"/>
            <w:tcBorders>
              <w:top w:val="single" w:color="000000" w:sz="4" w:space="0"/>
              <w:left w:val="single" w:color="000000" w:sz="4" w:space="0"/>
              <w:bottom w:val="single" w:color="000000" w:sz="4" w:space="0"/>
              <w:right w:val="single" w:color="000000" w:sz="4" w:space="0"/>
            </w:tcBorders>
            <w:vAlign w:val="center"/>
          </w:tcPr>
          <w:p w14:paraId="4ED718C0">
            <w:pPr>
              <w:overflowPunct w:val="0"/>
              <w:topLinePunct/>
              <w:spacing w:line="360" w:lineRule="auto"/>
              <w:ind w:right="14"/>
              <w:jc w:val="center"/>
              <w:rPr>
                <w:rFonts w:ascii="Times New Roman" w:hAnsi="Times New Roman" w:eastAsia="仿宋" w:cs="Times New Roman"/>
                <w:position w:val="-9"/>
              </w:rPr>
            </w:pPr>
          </w:p>
        </w:tc>
        <w:tc>
          <w:tcPr>
            <w:tcW w:w="1417" w:type="dxa"/>
            <w:tcBorders>
              <w:top w:val="single" w:color="000000" w:sz="4" w:space="0"/>
              <w:left w:val="single" w:color="000000" w:sz="4" w:space="0"/>
              <w:bottom w:val="single" w:color="000000" w:sz="4" w:space="0"/>
              <w:right w:val="single" w:color="000000" w:sz="4" w:space="0"/>
            </w:tcBorders>
            <w:vAlign w:val="center"/>
          </w:tcPr>
          <w:p w14:paraId="2CDD6740">
            <w:pPr>
              <w:overflowPunct w:val="0"/>
              <w:topLinePunct/>
              <w:spacing w:line="360" w:lineRule="auto"/>
              <w:ind w:right="14"/>
              <w:jc w:val="center"/>
              <w:rPr>
                <w:rFonts w:ascii="Times New Roman" w:hAnsi="Times New Roman" w:eastAsia="仿宋" w:cs="Times New Roman"/>
                <w:position w:val="-9"/>
              </w:rPr>
            </w:pPr>
          </w:p>
        </w:tc>
      </w:tr>
      <w:tr w14:paraId="07829DE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904" w:type="dxa"/>
            <w:vMerge w:val="continue"/>
            <w:tcBorders>
              <w:top w:val="single" w:color="000000" w:sz="4" w:space="0"/>
              <w:left w:val="single" w:color="000000" w:sz="4" w:space="0"/>
              <w:bottom w:val="single" w:color="000000" w:sz="4" w:space="0"/>
              <w:right w:val="single" w:color="000000" w:sz="4" w:space="0"/>
            </w:tcBorders>
            <w:vAlign w:val="center"/>
          </w:tcPr>
          <w:p w14:paraId="4D6E4095">
            <w:pPr>
              <w:spacing w:line="360" w:lineRule="auto"/>
              <w:rPr>
                <w:rFonts w:ascii="Times New Roman" w:hAnsi="Times New Roman" w:eastAsia="仿宋" w:cs="Times New Roman"/>
                <w:position w:val="-9"/>
              </w:rPr>
            </w:pPr>
          </w:p>
        </w:tc>
        <w:tc>
          <w:tcPr>
            <w:tcW w:w="1331" w:type="dxa"/>
            <w:tcBorders>
              <w:top w:val="single" w:color="000000" w:sz="4" w:space="0"/>
              <w:left w:val="single" w:color="000000" w:sz="4" w:space="0"/>
              <w:bottom w:val="single" w:color="000000" w:sz="4" w:space="0"/>
              <w:right w:val="single" w:color="000000" w:sz="4" w:space="0"/>
            </w:tcBorders>
            <w:vAlign w:val="center"/>
          </w:tcPr>
          <w:p w14:paraId="19B063EE">
            <w:pPr>
              <w:overflowPunct w:val="0"/>
              <w:topLinePunct/>
              <w:spacing w:line="360" w:lineRule="auto"/>
              <w:ind w:right="14"/>
              <w:jc w:val="center"/>
              <w:rPr>
                <w:rFonts w:ascii="Times New Roman" w:hAnsi="Times New Roman" w:eastAsia="仿宋" w:cs="Times New Roman"/>
                <w:position w:val="-9"/>
              </w:rPr>
            </w:pPr>
          </w:p>
        </w:tc>
        <w:tc>
          <w:tcPr>
            <w:tcW w:w="992" w:type="dxa"/>
            <w:tcBorders>
              <w:top w:val="single" w:color="000000" w:sz="4" w:space="0"/>
              <w:left w:val="single" w:color="000000" w:sz="4" w:space="0"/>
              <w:bottom w:val="single" w:color="000000" w:sz="4" w:space="0"/>
              <w:right w:val="single" w:color="000000" w:sz="4" w:space="0"/>
            </w:tcBorders>
            <w:vAlign w:val="center"/>
          </w:tcPr>
          <w:p w14:paraId="1EF66619">
            <w:pPr>
              <w:overflowPunct w:val="0"/>
              <w:topLinePunct/>
              <w:spacing w:line="360" w:lineRule="auto"/>
              <w:ind w:right="14"/>
              <w:jc w:val="center"/>
              <w:rPr>
                <w:rFonts w:ascii="Times New Roman" w:hAnsi="Times New Roman" w:eastAsia="仿宋" w:cs="Times New Roman"/>
                <w:position w:val="-9"/>
              </w:rPr>
            </w:pPr>
          </w:p>
        </w:tc>
        <w:tc>
          <w:tcPr>
            <w:tcW w:w="2551" w:type="dxa"/>
            <w:tcBorders>
              <w:top w:val="single" w:color="000000" w:sz="4" w:space="0"/>
              <w:left w:val="single" w:color="000000" w:sz="4" w:space="0"/>
              <w:bottom w:val="single" w:color="000000" w:sz="4" w:space="0"/>
              <w:right w:val="single" w:color="000000" w:sz="4" w:space="0"/>
            </w:tcBorders>
            <w:vAlign w:val="center"/>
          </w:tcPr>
          <w:p w14:paraId="6DB78F3E">
            <w:pPr>
              <w:overflowPunct w:val="0"/>
              <w:topLinePunct/>
              <w:spacing w:line="360" w:lineRule="auto"/>
              <w:ind w:right="14"/>
              <w:jc w:val="center"/>
              <w:rPr>
                <w:rFonts w:ascii="Times New Roman" w:hAnsi="Times New Roman" w:eastAsia="仿宋" w:cs="Times New Roman"/>
                <w:position w:val="-9"/>
              </w:rPr>
            </w:pPr>
          </w:p>
        </w:tc>
        <w:tc>
          <w:tcPr>
            <w:tcW w:w="1985" w:type="dxa"/>
            <w:tcBorders>
              <w:top w:val="single" w:color="000000" w:sz="4" w:space="0"/>
              <w:left w:val="single" w:color="000000" w:sz="4" w:space="0"/>
              <w:bottom w:val="single" w:color="000000" w:sz="4" w:space="0"/>
              <w:right w:val="single" w:color="000000" w:sz="4" w:space="0"/>
            </w:tcBorders>
            <w:vAlign w:val="center"/>
          </w:tcPr>
          <w:p w14:paraId="35FF2646">
            <w:pPr>
              <w:overflowPunct w:val="0"/>
              <w:topLinePunct/>
              <w:spacing w:line="360" w:lineRule="auto"/>
              <w:ind w:right="14"/>
              <w:jc w:val="center"/>
              <w:rPr>
                <w:rFonts w:ascii="Times New Roman" w:hAnsi="Times New Roman" w:eastAsia="仿宋" w:cs="Times New Roman"/>
                <w:position w:val="-9"/>
              </w:rPr>
            </w:pPr>
          </w:p>
        </w:tc>
        <w:tc>
          <w:tcPr>
            <w:tcW w:w="1417" w:type="dxa"/>
            <w:tcBorders>
              <w:top w:val="single" w:color="000000" w:sz="4" w:space="0"/>
              <w:left w:val="single" w:color="000000" w:sz="4" w:space="0"/>
              <w:bottom w:val="single" w:color="000000" w:sz="4" w:space="0"/>
              <w:right w:val="single" w:color="000000" w:sz="4" w:space="0"/>
            </w:tcBorders>
            <w:vAlign w:val="center"/>
          </w:tcPr>
          <w:p w14:paraId="186C22E0">
            <w:pPr>
              <w:overflowPunct w:val="0"/>
              <w:topLinePunct/>
              <w:spacing w:line="360" w:lineRule="auto"/>
              <w:ind w:right="14"/>
              <w:jc w:val="center"/>
              <w:rPr>
                <w:rFonts w:ascii="Times New Roman" w:hAnsi="Times New Roman" w:eastAsia="仿宋" w:cs="Times New Roman"/>
                <w:position w:val="-9"/>
              </w:rPr>
            </w:pPr>
          </w:p>
        </w:tc>
      </w:tr>
      <w:tr w14:paraId="51532B9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904" w:type="dxa"/>
            <w:vMerge w:val="continue"/>
            <w:tcBorders>
              <w:top w:val="single" w:color="000000" w:sz="4" w:space="0"/>
              <w:left w:val="single" w:color="000000" w:sz="4" w:space="0"/>
              <w:bottom w:val="single" w:color="000000" w:sz="4" w:space="0"/>
              <w:right w:val="single" w:color="000000" w:sz="4" w:space="0"/>
            </w:tcBorders>
            <w:vAlign w:val="center"/>
          </w:tcPr>
          <w:p w14:paraId="38EF848D">
            <w:pPr>
              <w:spacing w:line="360" w:lineRule="auto"/>
              <w:rPr>
                <w:rFonts w:ascii="Times New Roman" w:hAnsi="Times New Roman" w:eastAsia="仿宋" w:cs="Times New Roman"/>
                <w:position w:val="-9"/>
              </w:rPr>
            </w:pPr>
          </w:p>
        </w:tc>
        <w:tc>
          <w:tcPr>
            <w:tcW w:w="1331" w:type="dxa"/>
            <w:tcBorders>
              <w:top w:val="single" w:color="000000" w:sz="4" w:space="0"/>
              <w:left w:val="single" w:color="000000" w:sz="4" w:space="0"/>
              <w:bottom w:val="single" w:color="000000" w:sz="4" w:space="0"/>
              <w:right w:val="single" w:color="000000" w:sz="4" w:space="0"/>
            </w:tcBorders>
            <w:vAlign w:val="center"/>
          </w:tcPr>
          <w:p w14:paraId="57BCD775">
            <w:pPr>
              <w:overflowPunct w:val="0"/>
              <w:topLinePunct/>
              <w:spacing w:line="360" w:lineRule="auto"/>
              <w:ind w:right="14"/>
              <w:jc w:val="center"/>
              <w:rPr>
                <w:rFonts w:ascii="Times New Roman" w:hAnsi="Times New Roman" w:eastAsia="仿宋" w:cs="Times New Roman"/>
                <w:position w:val="-9"/>
              </w:rPr>
            </w:pPr>
          </w:p>
        </w:tc>
        <w:tc>
          <w:tcPr>
            <w:tcW w:w="992" w:type="dxa"/>
            <w:tcBorders>
              <w:top w:val="single" w:color="000000" w:sz="4" w:space="0"/>
              <w:left w:val="single" w:color="000000" w:sz="4" w:space="0"/>
              <w:bottom w:val="single" w:color="000000" w:sz="4" w:space="0"/>
              <w:right w:val="single" w:color="000000" w:sz="4" w:space="0"/>
            </w:tcBorders>
            <w:vAlign w:val="center"/>
          </w:tcPr>
          <w:p w14:paraId="02A2933A">
            <w:pPr>
              <w:overflowPunct w:val="0"/>
              <w:topLinePunct/>
              <w:spacing w:line="360" w:lineRule="auto"/>
              <w:ind w:right="14"/>
              <w:jc w:val="center"/>
              <w:rPr>
                <w:rFonts w:ascii="Times New Roman" w:hAnsi="Times New Roman" w:eastAsia="仿宋" w:cs="Times New Roman"/>
                <w:position w:val="-9"/>
              </w:rPr>
            </w:pPr>
          </w:p>
        </w:tc>
        <w:tc>
          <w:tcPr>
            <w:tcW w:w="2551" w:type="dxa"/>
            <w:tcBorders>
              <w:top w:val="single" w:color="000000" w:sz="4" w:space="0"/>
              <w:left w:val="single" w:color="000000" w:sz="4" w:space="0"/>
              <w:bottom w:val="single" w:color="000000" w:sz="4" w:space="0"/>
              <w:right w:val="single" w:color="000000" w:sz="4" w:space="0"/>
            </w:tcBorders>
            <w:vAlign w:val="center"/>
          </w:tcPr>
          <w:p w14:paraId="31F6C4E1">
            <w:pPr>
              <w:overflowPunct w:val="0"/>
              <w:topLinePunct/>
              <w:spacing w:line="360" w:lineRule="auto"/>
              <w:ind w:right="14"/>
              <w:jc w:val="center"/>
              <w:rPr>
                <w:rFonts w:ascii="Times New Roman" w:hAnsi="Times New Roman" w:eastAsia="仿宋" w:cs="Times New Roman"/>
                <w:position w:val="-9"/>
              </w:rPr>
            </w:pPr>
          </w:p>
        </w:tc>
        <w:tc>
          <w:tcPr>
            <w:tcW w:w="1985" w:type="dxa"/>
            <w:tcBorders>
              <w:top w:val="single" w:color="000000" w:sz="4" w:space="0"/>
              <w:left w:val="single" w:color="000000" w:sz="4" w:space="0"/>
              <w:bottom w:val="single" w:color="000000" w:sz="4" w:space="0"/>
              <w:right w:val="single" w:color="000000" w:sz="4" w:space="0"/>
            </w:tcBorders>
            <w:vAlign w:val="center"/>
          </w:tcPr>
          <w:p w14:paraId="62EBB70B">
            <w:pPr>
              <w:overflowPunct w:val="0"/>
              <w:topLinePunct/>
              <w:spacing w:line="360" w:lineRule="auto"/>
              <w:ind w:right="14"/>
              <w:jc w:val="center"/>
              <w:rPr>
                <w:rFonts w:ascii="Times New Roman" w:hAnsi="Times New Roman" w:eastAsia="仿宋" w:cs="Times New Roman"/>
                <w:position w:val="-9"/>
              </w:rPr>
            </w:pPr>
          </w:p>
        </w:tc>
        <w:tc>
          <w:tcPr>
            <w:tcW w:w="1417" w:type="dxa"/>
            <w:tcBorders>
              <w:top w:val="single" w:color="000000" w:sz="4" w:space="0"/>
              <w:left w:val="single" w:color="000000" w:sz="4" w:space="0"/>
              <w:bottom w:val="single" w:color="000000" w:sz="4" w:space="0"/>
              <w:right w:val="single" w:color="000000" w:sz="4" w:space="0"/>
            </w:tcBorders>
            <w:vAlign w:val="center"/>
          </w:tcPr>
          <w:p w14:paraId="07DA0089">
            <w:pPr>
              <w:overflowPunct w:val="0"/>
              <w:topLinePunct/>
              <w:spacing w:line="360" w:lineRule="auto"/>
              <w:ind w:right="14"/>
              <w:jc w:val="center"/>
              <w:rPr>
                <w:rFonts w:ascii="Times New Roman" w:hAnsi="Times New Roman" w:eastAsia="仿宋" w:cs="Times New Roman"/>
                <w:position w:val="-9"/>
              </w:rPr>
            </w:pPr>
          </w:p>
        </w:tc>
      </w:tr>
    </w:tbl>
    <w:p w14:paraId="7EBBEC96">
      <w:pPr>
        <w:spacing w:line="360" w:lineRule="auto"/>
        <w:ind w:firstLine="160" w:firstLineChars="67"/>
        <w:rPr>
          <w:rFonts w:ascii="Times New Roman" w:hAnsi="Times New Roman" w:eastAsia="仿宋" w:cs="Times New Roman"/>
          <w:szCs w:val="32"/>
        </w:rPr>
      </w:pPr>
      <w:r>
        <w:rPr>
          <w:rFonts w:ascii="Times New Roman" w:hAnsi="Times New Roman" w:cs="Times New Roman"/>
          <w:szCs w:val="32"/>
        </w:rPr>
        <w:t>注：若无商务或技术偏差，本表可不填。</w:t>
      </w:r>
    </w:p>
    <w:p w14:paraId="0A702132">
      <w:pPr>
        <w:spacing w:line="360" w:lineRule="auto"/>
        <w:ind w:firstLine="4560" w:firstLineChars="1900"/>
        <w:rPr>
          <w:rFonts w:ascii="Times New Roman" w:hAnsi="Times New Roman" w:cs="Times New Roman"/>
          <w:szCs w:val="32"/>
        </w:rPr>
      </w:pPr>
      <w:r>
        <w:rPr>
          <w:rFonts w:ascii="Times New Roman" w:hAnsi="Times New Roman" w:cs="Times New Roman"/>
          <w:szCs w:val="32"/>
        </w:rPr>
        <w:t>投标人：（盖单位章）</w:t>
      </w:r>
    </w:p>
    <w:p w14:paraId="0AB62175">
      <w:pPr>
        <w:spacing w:line="360" w:lineRule="auto"/>
        <w:ind w:firstLine="4560" w:firstLineChars="1900"/>
        <w:rPr>
          <w:rFonts w:ascii="Times New Roman" w:hAnsi="Times New Roman" w:cs="Times New Roman"/>
          <w:szCs w:val="32"/>
        </w:rPr>
      </w:pPr>
      <w:r>
        <w:rPr>
          <w:rFonts w:ascii="Times New Roman" w:hAnsi="Times New Roman" w:cs="Times New Roman"/>
          <w:szCs w:val="32"/>
        </w:rPr>
        <w:t>法定代表人或其委托代理人：（签字）</w:t>
      </w:r>
    </w:p>
    <w:p w14:paraId="082E3204">
      <w:pPr>
        <w:spacing w:line="360" w:lineRule="auto"/>
        <w:ind w:firstLine="7440" w:firstLineChars="3100"/>
        <w:rPr>
          <w:rFonts w:ascii="Times New Roman" w:hAnsi="Times New Roman" w:cs="Times New Roman"/>
          <w:szCs w:val="32"/>
        </w:rPr>
      </w:pPr>
      <w:r>
        <w:rPr>
          <w:rFonts w:ascii="Times New Roman" w:hAnsi="Times New Roman" w:cs="Times New Roman"/>
          <w:szCs w:val="32"/>
        </w:rPr>
        <w:t>年  月  日</w:t>
      </w:r>
    </w:p>
    <w:p w14:paraId="6F4172E1">
      <w:pPr>
        <w:widowControl/>
        <w:rPr>
          <w:rFonts w:ascii="Times New Roman" w:hAnsi="Times New Roman" w:cs="Times New Roman"/>
          <w:b/>
          <w:bCs/>
        </w:rPr>
      </w:pPr>
      <w:r>
        <w:rPr>
          <w:rFonts w:ascii="Times New Roman" w:hAnsi="Times New Roman" w:cs="Times New Roman"/>
          <w:b/>
          <w:bCs/>
        </w:rPr>
        <w:br w:type="page"/>
      </w:r>
    </w:p>
    <w:p w14:paraId="3CE1211E">
      <w:pPr>
        <w:spacing w:line="300" w:lineRule="auto"/>
        <w:jc w:val="center"/>
        <w:outlineLvl w:val="1"/>
        <w:rPr>
          <w:rFonts w:asciiTheme="minorEastAsia" w:hAnsiTheme="minorEastAsia" w:eastAsiaTheme="minorEastAsia"/>
          <w:b/>
          <w:bCs/>
          <w:sz w:val="32"/>
          <w:szCs w:val="32"/>
        </w:rPr>
      </w:pPr>
      <w:r>
        <w:rPr>
          <w:rFonts w:hint="eastAsia" w:asciiTheme="minorEastAsia" w:hAnsiTheme="minorEastAsia" w:eastAsiaTheme="minorEastAsia"/>
          <w:b/>
          <w:bCs/>
          <w:sz w:val="32"/>
          <w:szCs w:val="32"/>
        </w:rPr>
        <w:t>十、投标人认为应补充的其它资料</w:t>
      </w:r>
    </w:p>
    <w:p w14:paraId="23C04DA6">
      <w:pPr>
        <w:spacing w:line="360" w:lineRule="auto"/>
        <w:ind w:firstLine="482" w:firstLineChars="200"/>
        <w:rPr>
          <w:rFonts w:ascii="Times New Roman" w:hAnsi="Times New Roman" w:cs="Times New Roman"/>
          <w:b/>
          <w:bCs/>
        </w:rPr>
      </w:pPr>
    </w:p>
    <w:p w14:paraId="236F934D">
      <w:pPr>
        <w:widowControl/>
        <w:rPr>
          <w:rFonts w:ascii="Times New Roman" w:hAnsi="Times New Roman" w:cs="Times New Roman"/>
          <w:b/>
          <w:bCs/>
          <w:color w:val="auto"/>
          <w:kern w:val="2"/>
          <w:sz w:val="32"/>
          <w:szCs w:val="32"/>
        </w:rPr>
      </w:pPr>
      <w:bookmarkStart w:id="305" w:name="_Toc458524114"/>
      <w:bookmarkStart w:id="306" w:name="_Toc500833911"/>
      <w:r>
        <w:rPr>
          <w:rFonts w:ascii="Times New Roman" w:hAnsi="Times New Roman"/>
        </w:rPr>
        <w:br w:type="page"/>
      </w:r>
    </w:p>
    <w:bookmarkEnd w:id="305"/>
    <w:bookmarkEnd w:id="306"/>
    <w:p w14:paraId="0A72BB15">
      <w:pPr>
        <w:spacing w:line="300" w:lineRule="auto"/>
        <w:jc w:val="center"/>
        <w:outlineLvl w:val="1"/>
        <w:rPr>
          <w:rFonts w:asciiTheme="minorEastAsia" w:hAnsiTheme="minorEastAsia" w:eastAsiaTheme="minorEastAsia"/>
          <w:b/>
          <w:bCs/>
          <w:sz w:val="32"/>
          <w:szCs w:val="32"/>
        </w:rPr>
      </w:pPr>
      <w:r>
        <w:rPr>
          <w:rFonts w:hint="eastAsia" w:asciiTheme="minorEastAsia" w:hAnsiTheme="minorEastAsia" w:eastAsiaTheme="minorEastAsia"/>
          <w:b/>
          <w:bCs/>
          <w:sz w:val="32"/>
          <w:szCs w:val="32"/>
        </w:rPr>
        <w:t>十一、资格证明文件声明</w:t>
      </w:r>
    </w:p>
    <w:p w14:paraId="6E7FBA64">
      <w:pPr>
        <w:autoSpaceDE w:val="0"/>
        <w:autoSpaceDN w:val="0"/>
        <w:adjustRightInd w:val="0"/>
        <w:spacing w:line="360" w:lineRule="auto"/>
        <w:ind w:firstLine="425"/>
        <w:jc w:val="center"/>
        <w:rPr>
          <w:rFonts w:ascii="Times New Roman" w:hAnsi="Times New Roman" w:cs="Times New Roman"/>
          <w:b/>
          <w:sz w:val="30"/>
          <w:szCs w:val="30"/>
        </w:rPr>
      </w:pPr>
      <w:r>
        <w:rPr>
          <w:rFonts w:ascii="Times New Roman" w:hAnsi="Times New Roman" w:cs="Times New Roman"/>
          <w:b/>
          <w:sz w:val="30"/>
          <w:szCs w:val="30"/>
        </w:rPr>
        <w:t>关于资格文件的声明函</w:t>
      </w:r>
    </w:p>
    <w:p w14:paraId="351E7D26">
      <w:pPr>
        <w:autoSpaceDE w:val="0"/>
        <w:autoSpaceDN w:val="0"/>
        <w:adjustRightInd w:val="0"/>
        <w:spacing w:line="360" w:lineRule="auto"/>
        <w:ind w:firstLine="425"/>
        <w:jc w:val="center"/>
        <w:rPr>
          <w:rFonts w:ascii="Times New Roman" w:hAnsi="Times New Roman" w:cs="Times New Roman"/>
          <w:szCs w:val="21"/>
        </w:rPr>
      </w:pPr>
    </w:p>
    <w:p w14:paraId="6DB3E727">
      <w:pPr>
        <w:autoSpaceDE w:val="0"/>
        <w:autoSpaceDN w:val="0"/>
        <w:adjustRightInd w:val="0"/>
        <w:spacing w:line="360" w:lineRule="auto"/>
        <w:rPr>
          <w:rFonts w:ascii="Times New Roman" w:hAnsi="Times New Roman" w:cs="Times New Roman"/>
          <w:sz w:val="22"/>
          <w:szCs w:val="21"/>
        </w:rPr>
      </w:pPr>
      <w:r>
        <w:rPr>
          <w:rFonts w:ascii="Times New Roman" w:hAnsi="Times New Roman" w:cs="Times New Roman"/>
          <w:sz w:val="22"/>
          <w:szCs w:val="21"/>
        </w:rPr>
        <w:t xml:space="preserve"> </w:t>
      </w:r>
      <w:r>
        <w:rPr>
          <w:rFonts w:ascii="Times New Roman" w:hAnsi="Times New Roman" w:cs="Times New Roman"/>
          <w:sz w:val="22"/>
          <w:szCs w:val="21"/>
          <w:u w:val="single"/>
        </w:rPr>
        <w:t xml:space="preserve">                                    </w:t>
      </w:r>
      <w:r>
        <w:rPr>
          <w:rFonts w:ascii="Times New Roman" w:hAnsi="Times New Roman" w:cs="Times New Roman"/>
          <w:sz w:val="22"/>
          <w:szCs w:val="21"/>
        </w:rPr>
        <w:t>：</w:t>
      </w:r>
    </w:p>
    <w:p w14:paraId="29B7C6E5">
      <w:pPr>
        <w:autoSpaceDE w:val="0"/>
        <w:autoSpaceDN w:val="0"/>
        <w:adjustRightInd w:val="0"/>
        <w:spacing w:line="360" w:lineRule="auto"/>
        <w:ind w:firstLine="660"/>
        <w:rPr>
          <w:rFonts w:ascii="Times New Roman" w:hAnsi="Times New Roman" w:cs="Times New Roman"/>
          <w:sz w:val="22"/>
          <w:szCs w:val="21"/>
        </w:rPr>
      </w:pPr>
      <w:r>
        <w:rPr>
          <w:rFonts w:ascii="Times New Roman" w:hAnsi="Times New Roman" w:cs="Times New Roman"/>
          <w:sz w:val="22"/>
          <w:szCs w:val="21"/>
        </w:rPr>
        <w:t>本公司愿就由贵公司组织实施的编号为</w:t>
      </w:r>
      <w:r>
        <w:rPr>
          <w:rFonts w:ascii="Times New Roman" w:hAnsi="Times New Roman" w:cs="Times New Roman"/>
          <w:sz w:val="22"/>
          <w:szCs w:val="21"/>
          <w:u w:val="single"/>
        </w:rPr>
        <w:t xml:space="preserve">                              </w:t>
      </w:r>
      <w:r>
        <w:rPr>
          <w:rFonts w:ascii="Times New Roman" w:hAnsi="Times New Roman" w:cs="Times New Roman"/>
          <w:sz w:val="22"/>
          <w:szCs w:val="21"/>
        </w:rPr>
        <w:t>号的</w:t>
      </w:r>
      <w:r>
        <w:rPr>
          <w:rFonts w:hint="eastAsia" w:ascii="Times New Roman" w:hAnsi="Times New Roman" w:cs="Times New Roman"/>
          <w:sz w:val="22"/>
          <w:szCs w:val="21"/>
          <w:lang w:eastAsia="zh-CN"/>
        </w:rPr>
        <w:t>谈判</w:t>
      </w:r>
      <w:r>
        <w:rPr>
          <w:rFonts w:ascii="Times New Roman" w:hAnsi="Times New Roman" w:cs="Times New Roman"/>
          <w:sz w:val="22"/>
          <w:szCs w:val="21"/>
        </w:rPr>
        <w:t>活动进行</w:t>
      </w:r>
      <w:r>
        <w:rPr>
          <w:rFonts w:hint="eastAsia" w:ascii="Times New Roman" w:hAnsi="Times New Roman" w:cs="Times New Roman"/>
          <w:sz w:val="22"/>
          <w:szCs w:val="21"/>
        </w:rPr>
        <w:t>谈判</w:t>
      </w:r>
      <w:r>
        <w:rPr>
          <w:rFonts w:ascii="Times New Roman" w:hAnsi="Times New Roman" w:cs="Times New Roman"/>
          <w:sz w:val="22"/>
          <w:szCs w:val="21"/>
        </w:rPr>
        <w:t>。本公司所提交的投标文件中所有关于投标资格的文件、证明和陈述均是真实的、准确的。若与真实情况不符，本公司愿意承担由此而产生的一切后果。</w:t>
      </w:r>
    </w:p>
    <w:p w14:paraId="0A55FF42">
      <w:pPr>
        <w:autoSpaceDE w:val="0"/>
        <w:autoSpaceDN w:val="0"/>
        <w:adjustRightInd w:val="0"/>
        <w:spacing w:line="360" w:lineRule="auto"/>
        <w:ind w:firstLine="425"/>
        <w:rPr>
          <w:rFonts w:ascii="Times New Roman" w:hAnsi="Times New Roman" w:cs="Times New Roman"/>
          <w:sz w:val="22"/>
          <w:szCs w:val="21"/>
        </w:rPr>
      </w:pPr>
    </w:p>
    <w:p w14:paraId="202E4612">
      <w:pPr>
        <w:autoSpaceDE w:val="0"/>
        <w:autoSpaceDN w:val="0"/>
        <w:adjustRightInd w:val="0"/>
        <w:spacing w:line="360" w:lineRule="auto"/>
        <w:ind w:firstLine="425"/>
        <w:rPr>
          <w:rFonts w:ascii="Times New Roman" w:hAnsi="Times New Roman" w:cs="Times New Roman"/>
          <w:sz w:val="22"/>
          <w:szCs w:val="21"/>
        </w:rPr>
      </w:pPr>
    </w:p>
    <w:p w14:paraId="2A42D1C5">
      <w:pPr>
        <w:autoSpaceDE w:val="0"/>
        <w:autoSpaceDN w:val="0"/>
        <w:adjustRightInd w:val="0"/>
        <w:spacing w:line="360" w:lineRule="auto"/>
        <w:ind w:firstLine="425"/>
        <w:rPr>
          <w:rFonts w:ascii="Times New Roman" w:hAnsi="Times New Roman" w:cs="Times New Roman"/>
          <w:sz w:val="22"/>
          <w:szCs w:val="21"/>
        </w:rPr>
      </w:pPr>
    </w:p>
    <w:p w14:paraId="60763301">
      <w:pPr>
        <w:autoSpaceDE w:val="0"/>
        <w:autoSpaceDN w:val="0"/>
        <w:adjustRightInd w:val="0"/>
        <w:spacing w:line="360" w:lineRule="auto"/>
        <w:ind w:firstLine="425"/>
        <w:rPr>
          <w:rFonts w:ascii="Times New Roman" w:hAnsi="Times New Roman" w:cs="Times New Roman"/>
          <w:sz w:val="22"/>
          <w:szCs w:val="21"/>
        </w:rPr>
      </w:pPr>
      <w:r>
        <w:rPr>
          <w:rFonts w:ascii="Times New Roman" w:hAnsi="Times New Roman" w:cs="Times New Roman"/>
          <w:sz w:val="22"/>
          <w:szCs w:val="21"/>
        </w:rPr>
        <w:t xml:space="preserve"> </w:t>
      </w:r>
      <w:r>
        <w:rPr>
          <w:rFonts w:ascii="Times New Roman" w:hAnsi="Times New Roman" w:cs="Times New Roman"/>
          <w:sz w:val="22"/>
          <w:szCs w:val="21"/>
        </w:rPr>
        <w:tab/>
      </w:r>
      <w:r>
        <w:rPr>
          <w:rFonts w:ascii="Times New Roman" w:hAnsi="Times New Roman" w:cs="Times New Roman"/>
          <w:sz w:val="22"/>
          <w:szCs w:val="21"/>
        </w:rPr>
        <w:tab/>
      </w:r>
      <w:r>
        <w:rPr>
          <w:rFonts w:ascii="Times New Roman" w:hAnsi="Times New Roman" w:cs="Times New Roman"/>
          <w:sz w:val="22"/>
          <w:szCs w:val="21"/>
        </w:rPr>
        <w:tab/>
      </w:r>
      <w:r>
        <w:rPr>
          <w:rFonts w:ascii="Times New Roman" w:hAnsi="Times New Roman" w:cs="Times New Roman"/>
          <w:sz w:val="22"/>
          <w:szCs w:val="21"/>
        </w:rPr>
        <w:t>投标人法定代表人签字：</w:t>
      </w:r>
    </w:p>
    <w:p w14:paraId="318F8F4C">
      <w:pPr>
        <w:autoSpaceDE w:val="0"/>
        <w:autoSpaceDN w:val="0"/>
        <w:adjustRightInd w:val="0"/>
        <w:spacing w:line="360" w:lineRule="auto"/>
        <w:ind w:left="1700"/>
        <w:rPr>
          <w:rFonts w:ascii="Times New Roman" w:hAnsi="Times New Roman" w:cs="Times New Roman"/>
          <w:sz w:val="22"/>
          <w:szCs w:val="21"/>
        </w:rPr>
      </w:pPr>
      <w:r>
        <w:rPr>
          <w:rFonts w:ascii="Times New Roman" w:hAnsi="Times New Roman" w:cs="Times New Roman"/>
          <w:sz w:val="22"/>
          <w:szCs w:val="21"/>
        </w:rPr>
        <w:t>投标人：（公章）</w:t>
      </w:r>
    </w:p>
    <w:p w14:paraId="6B791998">
      <w:pPr>
        <w:autoSpaceDE w:val="0"/>
        <w:autoSpaceDN w:val="0"/>
        <w:adjustRightInd w:val="0"/>
        <w:spacing w:line="360" w:lineRule="auto"/>
        <w:rPr>
          <w:rFonts w:ascii="Times New Roman" w:hAnsi="Times New Roman" w:cs="Times New Roman"/>
          <w:sz w:val="22"/>
          <w:szCs w:val="21"/>
        </w:rPr>
      </w:pPr>
      <w:r>
        <w:rPr>
          <w:rFonts w:ascii="Times New Roman" w:hAnsi="Times New Roman" w:cs="Times New Roman"/>
          <w:sz w:val="22"/>
          <w:szCs w:val="21"/>
        </w:rPr>
        <w:t xml:space="preserve">                                日    期：        年</w:t>
      </w:r>
      <w:r>
        <w:rPr>
          <w:rFonts w:ascii="Times New Roman" w:hAnsi="Times New Roman" w:cs="Times New Roman"/>
          <w:sz w:val="22"/>
          <w:szCs w:val="21"/>
        </w:rPr>
        <w:tab/>
      </w:r>
      <w:r>
        <w:rPr>
          <w:rFonts w:ascii="Times New Roman" w:hAnsi="Times New Roman" w:cs="Times New Roman"/>
          <w:sz w:val="22"/>
          <w:szCs w:val="21"/>
        </w:rPr>
        <w:t xml:space="preserve">    月   </w:t>
      </w:r>
      <w:r>
        <w:rPr>
          <w:rFonts w:ascii="Times New Roman" w:hAnsi="Times New Roman" w:cs="Times New Roman"/>
          <w:sz w:val="22"/>
          <w:szCs w:val="21"/>
        </w:rPr>
        <w:tab/>
      </w:r>
      <w:r>
        <w:rPr>
          <w:rFonts w:ascii="Times New Roman" w:hAnsi="Times New Roman" w:cs="Times New Roman"/>
          <w:sz w:val="22"/>
          <w:szCs w:val="21"/>
        </w:rPr>
        <w:t>日</w:t>
      </w:r>
    </w:p>
    <w:p w14:paraId="1FD7C4E5">
      <w:pPr>
        <w:widowControl/>
        <w:rPr>
          <w:rFonts w:ascii="Times New Roman" w:hAnsi="Times New Roman" w:cs="Times New Roman"/>
          <w:sz w:val="22"/>
          <w:szCs w:val="21"/>
        </w:rPr>
      </w:pPr>
      <w:r>
        <w:rPr>
          <w:rFonts w:ascii="Times New Roman" w:hAnsi="Times New Roman" w:cs="Times New Roman"/>
          <w:sz w:val="22"/>
          <w:szCs w:val="21"/>
        </w:rPr>
        <w:br w:type="page"/>
      </w:r>
    </w:p>
    <w:p w14:paraId="33A95597">
      <w:pPr>
        <w:spacing w:line="300" w:lineRule="auto"/>
        <w:jc w:val="center"/>
        <w:outlineLvl w:val="1"/>
        <w:rPr>
          <w:rStyle w:val="98"/>
          <w:rFonts w:asciiTheme="minorEastAsia" w:hAnsiTheme="minorEastAsia" w:eastAsiaTheme="minorEastAsia"/>
          <w:b/>
          <w:bCs/>
          <w:lang w:eastAsia="zh-CN"/>
        </w:rPr>
      </w:pPr>
      <w:r>
        <w:rPr>
          <w:rFonts w:hint="eastAsia" w:asciiTheme="minorEastAsia" w:hAnsiTheme="minorEastAsia" w:eastAsiaTheme="minorEastAsia"/>
          <w:b/>
          <w:bCs/>
          <w:sz w:val="32"/>
          <w:szCs w:val="32"/>
        </w:rPr>
        <w:t>十二、</w:t>
      </w:r>
      <w:r>
        <w:rPr>
          <w:rFonts w:hint="eastAsia" w:ascii="Times New Roman" w:hAnsi="Times New Roman"/>
          <w:b/>
          <w:bCs/>
          <w:sz w:val="32"/>
          <w:szCs w:val="32"/>
        </w:rPr>
        <w:t>监理大纲</w:t>
      </w:r>
    </w:p>
    <w:p w14:paraId="024557E1">
      <w:pPr>
        <w:pStyle w:val="46"/>
        <w:shd w:val="clear" w:color="auto" w:fill="auto"/>
        <w:spacing w:before="0" w:line="360" w:lineRule="auto"/>
        <w:ind w:left="620"/>
        <w:jc w:val="both"/>
        <w:rPr>
          <w:rFonts w:asciiTheme="minorEastAsia" w:hAnsiTheme="minorEastAsia" w:eastAsiaTheme="minorEastAsia"/>
          <w:sz w:val="24"/>
          <w:szCs w:val="24"/>
        </w:rPr>
      </w:pPr>
      <w:r>
        <w:rPr>
          <w:rFonts w:hint="eastAsia" w:asciiTheme="minorEastAsia" w:hAnsiTheme="minorEastAsia" w:eastAsiaTheme="minorEastAsia"/>
          <w:sz w:val="24"/>
          <w:szCs w:val="24"/>
        </w:rPr>
        <w:t>监理大纲应包括（但不限于）下列内容：</w:t>
      </w:r>
    </w:p>
    <w:p w14:paraId="3948F3EF">
      <w:pPr>
        <w:pStyle w:val="46"/>
        <w:shd w:val="clear" w:color="auto" w:fill="auto"/>
        <w:tabs>
          <w:tab w:val="left" w:pos="1089"/>
        </w:tabs>
        <w:spacing w:before="0" w:line="360" w:lineRule="auto"/>
        <w:ind w:left="620"/>
        <w:jc w:val="both"/>
        <w:rPr>
          <w:rFonts w:asciiTheme="minorEastAsia" w:hAnsiTheme="minorEastAsia" w:eastAsiaTheme="minorEastAsia"/>
          <w:sz w:val="24"/>
          <w:szCs w:val="24"/>
        </w:rPr>
      </w:pPr>
      <w:r>
        <w:rPr>
          <w:rFonts w:hint="eastAsia" w:asciiTheme="minorEastAsia" w:hAnsiTheme="minorEastAsia" w:eastAsiaTheme="minorEastAsia"/>
          <w:sz w:val="24"/>
          <w:szCs w:val="24"/>
        </w:rPr>
        <w:t>一、</w:t>
      </w:r>
      <w:r>
        <w:rPr>
          <w:rFonts w:asciiTheme="minorEastAsia" w:hAnsiTheme="minorEastAsia" w:eastAsiaTheme="minorEastAsia"/>
          <w:sz w:val="24"/>
          <w:szCs w:val="24"/>
        </w:rPr>
        <w:tab/>
      </w:r>
      <w:r>
        <w:rPr>
          <w:rFonts w:hint="eastAsia" w:asciiTheme="minorEastAsia" w:hAnsiTheme="minorEastAsia" w:eastAsiaTheme="minorEastAsia"/>
          <w:sz w:val="24"/>
          <w:szCs w:val="24"/>
        </w:rPr>
        <w:t>监理工程概况；</w:t>
      </w:r>
    </w:p>
    <w:p w14:paraId="3EC2DD36">
      <w:pPr>
        <w:pStyle w:val="46"/>
        <w:shd w:val="clear" w:color="auto" w:fill="auto"/>
        <w:tabs>
          <w:tab w:val="left" w:pos="1089"/>
        </w:tabs>
        <w:spacing w:before="0" w:line="360" w:lineRule="auto"/>
        <w:ind w:left="620"/>
        <w:jc w:val="both"/>
        <w:rPr>
          <w:rFonts w:asciiTheme="minorEastAsia" w:hAnsiTheme="minorEastAsia" w:eastAsiaTheme="minorEastAsia"/>
          <w:sz w:val="24"/>
          <w:szCs w:val="24"/>
        </w:rPr>
      </w:pPr>
      <w:r>
        <w:rPr>
          <w:rFonts w:hint="eastAsia" w:asciiTheme="minorEastAsia" w:hAnsiTheme="minorEastAsia" w:eastAsiaTheme="minorEastAsia"/>
          <w:sz w:val="24"/>
          <w:szCs w:val="24"/>
        </w:rPr>
        <w:t>二、</w:t>
      </w:r>
      <w:r>
        <w:rPr>
          <w:rFonts w:asciiTheme="minorEastAsia" w:hAnsiTheme="minorEastAsia" w:eastAsiaTheme="minorEastAsia"/>
          <w:sz w:val="24"/>
          <w:szCs w:val="24"/>
        </w:rPr>
        <w:tab/>
      </w:r>
      <w:r>
        <w:rPr>
          <w:rFonts w:hint="eastAsia" w:asciiTheme="minorEastAsia" w:hAnsiTheme="minorEastAsia" w:eastAsiaTheme="minorEastAsia"/>
          <w:sz w:val="24"/>
          <w:szCs w:val="24"/>
        </w:rPr>
        <w:t>监理范围、监理内容；</w:t>
      </w:r>
    </w:p>
    <w:p w14:paraId="54AD32BD">
      <w:pPr>
        <w:pStyle w:val="46"/>
        <w:shd w:val="clear" w:color="auto" w:fill="auto"/>
        <w:tabs>
          <w:tab w:val="left" w:pos="1094"/>
        </w:tabs>
        <w:spacing w:before="0" w:line="360" w:lineRule="auto"/>
        <w:ind w:left="620"/>
        <w:jc w:val="both"/>
        <w:rPr>
          <w:rFonts w:asciiTheme="minorEastAsia" w:hAnsiTheme="minorEastAsia" w:eastAsiaTheme="minorEastAsia"/>
          <w:sz w:val="24"/>
          <w:szCs w:val="24"/>
        </w:rPr>
      </w:pPr>
      <w:r>
        <w:rPr>
          <w:rFonts w:hint="eastAsia" w:asciiTheme="minorEastAsia" w:hAnsiTheme="minorEastAsia" w:eastAsiaTheme="minorEastAsia"/>
          <w:sz w:val="24"/>
          <w:szCs w:val="24"/>
        </w:rPr>
        <w:t>三、</w:t>
      </w:r>
      <w:r>
        <w:rPr>
          <w:rFonts w:asciiTheme="minorEastAsia" w:hAnsiTheme="minorEastAsia" w:eastAsiaTheme="minorEastAsia"/>
          <w:sz w:val="24"/>
          <w:szCs w:val="24"/>
        </w:rPr>
        <w:tab/>
      </w:r>
      <w:r>
        <w:rPr>
          <w:rFonts w:hint="eastAsia" w:asciiTheme="minorEastAsia" w:hAnsiTheme="minorEastAsia" w:eastAsiaTheme="minorEastAsia"/>
          <w:sz w:val="24"/>
          <w:szCs w:val="24"/>
        </w:rPr>
        <w:t>监理依据、监理工作目标；</w:t>
      </w:r>
    </w:p>
    <w:p w14:paraId="13805980">
      <w:pPr>
        <w:pStyle w:val="46"/>
        <w:shd w:val="clear" w:color="auto" w:fill="auto"/>
        <w:tabs>
          <w:tab w:val="left" w:pos="1094"/>
        </w:tabs>
        <w:spacing w:before="0" w:line="360" w:lineRule="auto"/>
        <w:ind w:left="620"/>
        <w:jc w:val="both"/>
        <w:rPr>
          <w:rFonts w:asciiTheme="minorEastAsia" w:hAnsiTheme="minorEastAsia" w:eastAsiaTheme="minorEastAsia"/>
          <w:sz w:val="24"/>
          <w:szCs w:val="24"/>
        </w:rPr>
      </w:pPr>
      <w:r>
        <w:rPr>
          <w:rFonts w:hint="eastAsia" w:asciiTheme="minorEastAsia" w:hAnsiTheme="minorEastAsia" w:eastAsiaTheme="minorEastAsia"/>
          <w:sz w:val="24"/>
          <w:szCs w:val="24"/>
        </w:rPr>
        <w:t>四、</w:t>
      </w:r>
      <w:r>
        <w:rPr>
          <w:rFonts w:asciiTheme="minorEastAsia" w:hAnsiTheme="minorEastAsia" w:eastAsiaTheme="minorEastAsia"/>
          <w:sz w:val="24"/>
          <w:szCs w:val="24"/>
        </w:rPr>
        <w:tab/>
      </w:r>
      <w:r>
        <w:rPr>
          <w:rFonts w:hint="eastAsia" w:asciiTheme="minorEastAsia" w:hAnsiTheme="minorEastAsia" w:eastAsiaTheme="minorEastAsia"/>
          <w:sz w:val="24"/>
          <w:szCs w:val="24"/>
        </w:rPr>
        <w:t>监理机构设置（框图）、岗位职责；</w:t>
      </w:r>
    </w:p>
    <w:p w14:paraId="3DF63900">
      <w:pPr>
        <w:pStyle w:val="46"/>
        <w:shd w:val="clear" w:color="auto" w:fill="auto"/>
        <w:tabs>
          <w:tab w:val="left" w:pos="1094"/>
        </w:tabs>
        <w:spacing w:before="0" w:line="360" w:lineRule="auto"/>
        <w:ind w:left="620"/>
        <w:jc w:val="both"/>
        <w:rPr>
          <w:rFonts w:asciiTheme="minorEastAsia" w:hAnsiTheme="minorEastAsia" w:eastAsiaTheme="minorEastAsia"/>
          <w:sz w:val="24"/>
          <w:szCs w:val="24"/>
        </w:rPr>
      </w:pPr>
      <w:r>
        <w:rPr>
          <w:rFonts w:hint="eastAsia" w:asciiTheme="minorEastAsia" w:hAnsiTheme="minorEastAsia" w:eastAsiaTheme="minorEastAsia"/>
          <w:sz w:val="24"/>
          <w:szCs w:val="24"/>
        </w:rPr>
        <w:t>五、</w:t>
      </w:r>
      <w:r>
        <w:rPr>
          <w:rFonts w:asciiTheme="minorEastAsia" w:hAnsiTheme="minorEastAsia" w:eastAsiaTheme="minorEastAsia"/>
          <w:sz w:val="24"/>
          <w:szCs w:val="24"/>
        </w:rPr>
        <w:tab/>
      </w:r>
      <w:r>
        <w:rPr>
          <w:rFonts w:hint="eastAsia" w:asciiTheme="minorEastAsia" w:hAnsiTheme="minorEastAsia" w:eastAsiaTheme="minorEastAsia"/>
          <w:sz w:val="24"/>
          <w:szCs w:val="24"/>
        </w:rPr>
        <w:t>监理工作程序、方法和制度；</w:t>
      </w:r>
    </w:p>
    <w:p w14:paraId="29F58301">
      <w:pPr>
        <w:pStyle w:val="46"/>
        <w:shd w:val="clear" w:color="auto" w:fill="auto"/>
        <w:tabs>
          <w:tab w:val="left" w:pos="1094"/>
        </w:tabs>
        <w:spacing w:before="0" w:line="360" w:lineRule="auto"/>
        <w:ind w:left="620"/>
        <w:jc w:val="both"/>
        <w:rPr>
          <w:rFonts w:asciiTheme="minorEastAsia" w:hAnsiTheme="minorEastAsia" w:eastAsiaTheme="minorEastAsia"/>
          <w:sz w:val="24"/>
          <w:szCs w:val="24"/>
        </w:rPr>
      </w:pPr>
      <w:r>
        <w:rPr>
          <w:rFonts w:hint="eastAsia" w:asciiTheme="minorEastAsia" w:hAnsiTheme="minorEastAsia" w:eastAsiaTheme="minorEastAsia"/>
          <w:sz w:val="24"/>
          <w:szCs w:val="24"/>
        </w:rPr>
        <w:t>六、</w:t>
      </w:r>
      <w:r>
        <w:rPr>
          <w:rFonts w:asciiTheme="minorEastAsia" w:hAnsiTheme="minorEastAsia" w:eastAsiaTheme="minorEastAsia"/>
          <w:sz w:val="24"/>
          <w:szCs w:val="24"/>
        </w:rPr>
        <w:tab/>
      </w:r>
      <w:r>
        <w:rPr>
          <w:rFonts w:hint="eastAsia" w:asciiTheme="minorEastAsia" w:hAnsiTheme="minorEastAsia" w:eastAsiaTheme="minorEastAsia"/>
          <w:sz w:val="24"/>
          <w:szCs w:val="24"/>
        </w:rPr>
        <w:t>拟投入的监理人员、试验检测仪器设备；</w:t>
      </w:r>
    </w:p>
    <w:p w14:paraId="4AAF7436">
      <w:pPr>
        <w:pStyle w:val="46"/>
        <w:shd w:val="clear" w:color="auto" w:fill="auto"/>
        <w:tabs>
          <w:tab w:val="left" w:pos="1094"/>
        </w:tabs>
        <w:spacing w:before="0" w:line="360" w:lineRule="auto"/>
        <w:ind w:left="620"/>
        <w:jc w:val="both"/>
        <w:rPr>
          <w:rFonts w:asciiTheme="minorEastAsia" w:hAnsiTheme="minorEastAsia" w:eastAsiaTheme="minorEastAsia"/>
          <w:sz w:val="24"/>
          <w:szCs w:val="24"/>
        </w:rPr>
      </w:pPr>
      <w:r>
        <w:rPr>
          <w:rFonts w:hint="eastAsia" w:asciiTheme="minorEastAsia" w:hAnsiTheme="minorEastAsia" w:eastAsiaTheme="minorEastAsia"/>
          <w:sz w:val="24"/>
          <w:szCs w:val="24"/>
        </w:rPr>
        <w:t>七、</w:t>
      </w:r>
      <w:r>
        <w:rPr>
          <w:rFonts w:asciiTheme="minorEastAsia" w:hAnsiTheme="minorEastAsia" w:eastAsiaTheme="minorEastAsia"/>
          <w:sz w:val="24"/>
          <w:szCs w:val="24"/>
        </w:rPr>
        <w:tab/>
      </w:r>
      <w:r>
        <w:rPr>
          <w:rFonts w:hint="eastAsia" w:asciiTheme="minorEastAsia" w:hAnsiTheme="minorEastAsia" w:eastAsiaTheme="minorEastAsia"/>
          <w:sz w:val="24"/>
          <w:szCs w:val="24"/>
        </w:rPr>
        <w:t>质量、进度、造价、安全、环保监理措施；</w:t>
      </w:r>
    </w:p>
    <w:p w14:paraId="480A13F5">
      <w:pPr>
        <w:pStyle w:val="46"/>
        <w:shd w:val="clear" w:color="auto" w:fill="auto"/>
        <w:tabs>
          <w:tab w:val="left" w:pos="1094"/>
        </w:tabs>
        <w:spacing w:before="0" w:line="360" w:lineRule="auto"/>
        <w:ind w:left="620"/>
        <w:jc w:val="both"/>
        <w:rPr>
          <w:rFonts w:asciiTheme="minorEastAsia" w:hAnsiTheme="minorEastAsia" w:eastAsiaTheme="minorEastAsia"/>
          <w:sz w:val="24"/>
          <w:szCs w:val="24"/>
        </w:rPr>
      </w:pPr>
      <w:r>
        <w:rPr>
          <w:rFonts w:hint="eastAsia" w:asciiTheme="minorEastAsia" w:hAnsiTheme="minorEastAsia" w:eastAsiaTheme="minorEastAsia"/>
          <w:sz w:val="24"/>
          <w:szCs w:val="24"/>
        </w:rPr>
        <w:t>八、</w:t>
      </w:r>
      <w:r>
        <w:rPr>
          <w:rFonts w:asciiTheme="minorEastAsia" w:hAnsiTheme="minorEastAsia" w:eastAsiaTheme="minorEastAsia"/>
          <w:sz w:val="24"/>
          <w:szCs w:val="24"/>
        </w:rPr>
        <w:tab/>
      </w:r>
      <w:r>
        <w:rPr>
          <w:rFonts w:hint="eastAsia" w:asciiTheme="minorEastAsia" w:hAnsiTheme="minorEastAsia" w:eastAsiaTheme="minorEastAsia"/>
          <w:sz w:val="24"/>
          <w:szCs w:val="24"/>
        </w:rPr>
        <w:t>合同、信息管理方案；</w:t>
      </w:r>
    </w:p>
    <w:p w14:paraId="45AC7DC3">
      <w:pPr>
        <w:pStyle w:val="46"/>
        <w:shd w:val="clear" w:color="auto" w:fill="auto"/>
        <w:spacing w:before="0" w:line="360" w:lineRule="auto"/>
        <w:ind w:left="620"/>
        <w:jc w:val="both"/>
        <w:rPr>
          <w:rFonts w:asciiTheme="minorEastAsia" w:hAnsiTheme="minorEastAsia" w:eastAsiaTheme="minorEastAsia"/>
          <w:sz w:val="24"/>
          <w:szCs w:val="24"/>
        </w:rPr>
      </w:pPr>
      <w:r>
        <w:rPr>
          <w:rFonts w:hint="eastAsia" w:asciiTheme="minorEastAsia" w:hAnsiTheme="minorEastAsia" w:eastAsiaTheme="minorEastAsia"/>
          <w:sz w:val="24"/>
          <w:szCs w:val="24"/>
        </w:rPr>
        <w:t>十、组织协调内容及措施；</w:t>
      </w:r>
    </w:p>
    <w:p w14:paraId="056180EE">
      <w:pPr>
        <w:pStyle w:val="46"/>
        <w:shd w:val="clear" w:color="auto" w:fill="auto"/>
        <w:spacing w:before="0" w:line="360" w:lineRule="auto"/>
        <w:ind w:left="620"/>
        <w:jc w:val="both"/>
        <w:rPr>
          <w:rFonts w:asciiTheme="minorEastAsia" w:hAnsiTheme="minorEastAsia" w:eastAsiaTheme="minorEastAsia"/>
          <w:sz w:val="24"/>
          <w:szCs w:val="24"/>
        </w:rPr>
      </w:pPr>
      <w:r>
        <w:rPr>
          <w:rFonts w:hint="eastAsia" w:asciiTheme="minorEastAsia" w:hAnsiTheme="minorEastAsia" w:eastAsiaTheme="minorEastAsia"/>
          <w:sz w:val="24"/>
          <w:szCs w:val="24"/>
        </w:rPr>
        <w:t>十一、监理工作重点、难点分析；</w:t>
      </w:r>
    </w:p>
    <w:p w14:paraId="089BCAD5">
      <w:pPr>
        <w:pStyle w:val="46"/>
        <w:shd w:val="clear" w:color="auto" w:fill="auto"/>
        <w:spacing w:before="0" w:line="360" w:lineRule="auto"/>
        <w:ind w:left="620"/>
        <w:jc w:val="both"/>
        <w:rPr>
          <w:rFonts w:ascii="Times New Roman" w:hAnsi="Times New Roman" w:cs="Times New Roman"/>
          <w:sz w:val="22"/>
          <w:szCs w:val="21"/>
        </w:rPr>
      </w:pPr>
      <w:r>
        <w:rPr>
          <w:rFonts w:hint="eastAsia" w:asciiTheme="minorEastAsia" w:hAnsiTheme="minorEastAsia" w:eastAsiaTheme="minorEastAsia"/>
          <w:sz w:val="24"/>
          <w:szCs w:val="24"/>
        </w:rPr>
        <w:t>十二、对本工程监理的合理化建议。</w:t>
      </w:r>
    </w:p>
    <w:bookmarkEnd w:id="284"/>
    <w:p w14:paraId="5BC112D6">
      <w:pPr>
        <w:pStyle w:val="121"/>
        <w:jc w:val="left"/>
      </w:pPr>
    </w:p>
    <w:sectPr>
      <w:footerReference r:id="rId7" w:type="default"/>
      <w:pgSz w:w="11907" w:h="16840"/>
      <w:pgMar w:top="1304" w:right="1304" w:bottom="1304" w:left="1304" w:header="0" w:footer="850" w:gutter="0"/>
      <w:pgNumType w:start="1"/>
      <w:cols w:space="720"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endnote>
  <w:endnote w:type="continuationSeparator" w:id="1">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MingLiU">
    <w:altName w:val="PMingLiU-ExtB"/>
    <w:panose1 w:val="02010609000101010101"/>
    <w:charset w:val="88"/>
    <w:family w:val="modern"/>
    <w:pitch w:val="default"/>
    <w:sig w:usb0="00000000" w:usb1="00000000" w:usb2="00000016" w:usb3="00000000" w:csb0="00100001" w:csb1="00000000"/>
  </w:font>
  <w:font w:name="PMingLiU-ExtB">
    <w:panose1 w:val="02020500000000000000"/>
    <w:charset w:val="88"/>
    <w:family w:val="auto"/>
    <w:pitch w:val="default"/>
    <w:sig w:usb0="8000002F" w:usb1="02000008" w:usb2="00000000" w:usb3="00000000" w:csb0="00100001" w:csb1="00000000"/>
  </w:font>
  <w:font w:name="仿宋">
    <w:panose1 w:val="02010609060101010101"/>
    <w:charset w:val="86"/>
    <w:family w:val="modern"/>
    <w:pitch w:val="default"/>
    <w:sig w:usb0="800002BF" w:usb1="38CF7CFA" w:usb2="00000016" w:usb3="00000000" w:csb0="00040001" w:csb1="00000000"/>
  </w:font>
  <w:font w:name="Calibri Light">
    <w:panose1 w:val="020F0302020204030204"/>
    <w:charset w:val="00"/>
    <w:family w:val="swiss"/>
    <w:pitch w:val="default"/>
    <w:sig w:usb0="E4002EFF" w:usb1="C000247B" w:usb2="00000009" w:usb3="00000000" w:csb0="200001FF" w:csb1="00000000"/>
  </w:font>
  <w:font w:name="方正小标宋简体">
    <w:panose1 w:val="03000509000000000000"/>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华文中宋">
    <w:panose1 w:val="02010600040101010101"/>
    <w:charset w:val="86"/>
    <w:family w:val="auto"/>
    <w:pitch w:val="default"/>
    <w:sig w:usb0="00000287" w:usb1="080F0000" w:usb2="00000000" w:usb3="00000000" w:csb0="0004009F" w:csb1="DFD70000"/>
  </w:font>
  <w:font w:name="华文楷体">
    <w:panose1 w:val="02010600040101010101"/>
    <w:charset w:val="86"/>
    <w:family w:val="auto"/>
    <w:pitch w:val="default"/>
    <w:sig w:usb0="00000287" w:usb1="080F0000" w:usb2="00000000" w:usb3="00000000" w:csb0="0004009F" w:csb1="DFD70000"/>
  </w:font>
  <w:font w:name="ˎ̥">
    <w:altName w:val="Times New Roman"/>
    <w:panose1 w:val="00000000000000000000"/>
    <w:charset w:val="00"/>
    <w:family w:val="roman"/>
    <w:pitch w:val="default"/>
    <w:sig w:usb0="00000000" w:usb1="00000000" w:usb2="00000000" w:usb3="00000000" w:csb0="00040001" w:csb1="00000000"/>
  </w:font>
  <w:font w:name="BatangChe">
    <w:altName w:val="Malgun Gothic"/>
    <w:panose1 w:val="00000000000000000000"/>
    <w:charset w:val="81"/>
    <w:family w:val="modern"/>
    <w:pitch w:val="default"/>
    <w:sig w:usb0="00000000" w:usb1="00000000" w:usb2="00000030" w:usb3="00000000" w:csb0="0008009F" w:csb1="00000000"/>
  </w:font>
  <w:font w:name="Malgun Gothic">
    <w:panose1 w:val="020B0503020000020004"/>
    <w:charset w:val="81"/>
    <w:family w:val="auto"/>
    <w:pitch w:val="default"/>
    <w:sig w:usb0="9000002F" w:usb1="29D77CFB" w:usb2="00000012" w:usb3="00000000" w:csb0="00080001" w:csb1="00000000"/>
  </w:font>
  <w:font w:name="华文宋体">
    <w:panose1 w:val="02010600040101010101"/>
    <w:charset w:val="86"/>
    <w:family w:val="auto"/>
    <w:pitch w:val="default"/>
    <w:sig w:usb0="00000287" w:usb1="080F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448940038"/>
    </w:sdtPr>
    <w:sdtContent>
      <w:p w14:paraId="50CF1169">
        <w:pPr>
          <w:pStyle w:val="13"/>
          <w:jc w:val="center"/>
        </w:pPr>
        <w:r>
          <w:fldChar w:fldCharType="begin"/>
        </w:r>
        <w:r>
          <w:instrText xml:space="preserve">PAGE   \* MERGEFORMAT</w:instrText>
        </w:r>
        <w:r>
          <w:fldChar w:fldCharType="separate"/>
        </w:r>
        <w:r>
          <w:t>2</w:t>
        </w:r>
        <w:r>
          <w:fldChar w:fldCharType="end"/>
        </w:r>
      </w:p>
    </w:sdtContent>
  </w:sdt>
  <w:p w14:paraId="32DBC336">
    <w:pPr>
      <w:rPr>
        <w:sz w:val="2"/>
        <w:szCs w:val="2"/>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42BEE68">
    <w:pPr>
      <w:rPr>
        <w:sz w:val="2"/>
        <w:szCs w:val="2"/>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637952787"/>
    </w:sdtPr>
    <w:sdtEndPr>
      <w:rPr>
        <w:rFonts w:ascii="Times New Roman" w:hAnsi="Times New Roman" w:cs="Times New Roman"/>
      </w:rPr>
    </w:sdtEndPr>
    <w:sdtContent>
      <w:p w14:paraId="2294688B">
        <w:pPr>
          <w:pStyle w:val="13"/>
          <w:jc w:val="center"/>
          <w:rPr>
            <w:rFonts w:ascii="Times New Roman" w:hAnsi="Times New Roman" w:cs="Times New Roman"/>
          </w:rPr>
        </w:pPr>
        <w:r>
          <w:rPr>
            <w:rFonts w:ascii="Times New Roman" w:hAnsi="Times New Roman" w:cs="Times New Roman"/>
          </w:rPr>
          <w:fldChar w:fldCharType="begin"/>
        </w:r>
        <w:r>
          <w:rPr>
            <w:rFonts w:ascii="Times New Roman" w:hAnsi="Times New Roman" w:cs="Times New Roman"/>
          </w:rPr>
          <w:instrText xml:space="preserve">PAGE   \* MERGEFORMAT</w:instrText>
        </w:r>
        <w:r>
          <w:rPr>
            <w:rFonts w:ascii="Times New Roman" w:hAnsi="Times New Roman" w:cs="Times New Roman"/>
          </w:rPr>
          <w:fldChar w:fldCharType="separate"/>
        </w:r>
        <w:r>
          <w:rPr>
            <w:rFonts w:ascii="Times New Roman" w:hAnsi="Times New Roman" w:cs="Times New Roman"/>
          </w:rPr>
          <w:t>2</w:t>
        </w:r>
        <w:r>
          <w:rPr>
            <w:rFonts w:ascii="Times New Roman" w:hAnsi="Times New Roman" w:cs="Times New Roman"/>
          </w:rPr>
          <w:fldChar w:fldCharType="end"/>
        </w:r>
      </w:p>
    </w:sdtContent>
  </w:sdt>
  <w:p w14:paraId="327B5106">
    <w:pPr>
      <w:rPr>
        <w:sz w:val="2"/>
        <w:szCs w:val="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footnote>
  <w:footnote w:type="continuationSeparator" w:id="1">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cumentProtection w:edit="trackedChanges" w:enforcement="1"/>
  <w:defaultTabStop w:val="420"/>
  <w:drawingGridHorizontalSpacing w:val="120"/>
  <w:drawingGridVerticalSpacing w:val="181"/>
  <w:displayHorizontalDrawingGridEvery w:val="2"/>
  <w:characterSpacingControl w:val="compressPunctuation"/>
  <w:noLineBreaksAfter w:lang="zh-CN" w:val="$([{£¥·‘“〈《「『【〔〖〝﹙﹛﹝＄（．［｛￡￥"/>
  <w:noLineBreaksBefore w:lang="zh-CN" w:val="!%),.:;&gt;?]}¢¨°·ˇˉ―‖’”…‰′″›℃∶、。〃〉》」』】〕〗〞︶︺︾﹀﹄﹚﹜﹞！＂％＇），．：；？］｀｜｝～￠"/>
  <w:footnotePr>
    <w:footnote w:id="0"/>
    <w:footnote w:id="1"/>
  </w:footnotePr>
  <w:endnotePr>
    <w:endnote w:id="0"/>
    <w:endnote w:id="1"/>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aztFileName" w:val="131979748866750366NU"/>
    <w:docVar w:name="aztPrintName" w:val="000000ESAOAPRINT"/>
    <w:docVar w:name="aztPrintType" w:val="2"/>
    <w:docVar w:name="commondata" w:val="eyJoZGlkIjoiYjMyMGJiNDM2NjQ5NzEyMTlhMTQxNjJmOTA4MWQ1NjQifQ=="/>
  </w:docVars>
  <w:rsids>
    <w:rsidRoot w:val="000B1B39"/>
    <w:rsid w:val="00001451"/>
    <w:rsid w:val="00002599"/>
    <w:rsid w:val="00002E5F"/>
    <w:rsid w:val="000058B6"/>
    <w:rsid w:val="00010FA2"/>
    <w:rsid w:val="00011308"/>
    <w:rsid w:val="000125A4"/>
    <w:rsid w:val="000129D7"/>
    <w:rsid w:val="00013E3F"/>
    <w:rsid w:val="00013FBF"/>
    <w:rsid w:val="000146AF"/>
    <w:rsid w:val="000204B5"/>
    <w:rsid w:val="00020C4C"/>
    <w:rsid w:val="00023D5B"/>
    <w:rsid w:val="00024BEC"/>
    <w:rsid w:val="00027657"/>
    <w:rsid w:val="00031235"/>
    <w:rsid w:val="00031C0E"/>
    <w:rsid w:val="00031C37"/>
    <w:rsid w:val="00032A3E"/>
    <w:rsid w:val="00033C7B"/>
    <w:rsid w:val="000352D4"/>
    <w:rsid w:val="000355F5"/>
    <w:rsid w:val="00040A1B"/>
    <w:rsid w:val="0004260F"/>
    <w:rsid w:val="00042955"/>
    <w:rsid w:val="00044555"/>
    <w:rsid w:val="00044760"/>
    <w:rsid w:val="00044B08"/>
    <w:rsid w:val="00044E5E"/>
    <w:rsid w:val="0004755C"/>
    <w:rsid w:val="00051193"/>
    <w:rsid w:val="00051335"/>
    <w:rsid w:val="00051CD0"/>
    <w:rsid w:val="00052074"/>
    <w:rsid w:val="00052C91"/>
    <w:rsid w:val="00053A86"/>
    <w:rsid w:val="00061E00"/>
    <w:rsid w:val="000657F2"/>
    <w:rsid w:val="00065EC7"/>
    <w:rsid w:val="00066E4A"/>
    <w:rsid w:val="000708C2"/>
    <w:rsid w:val="0007296A"/>
    <w:rsid w:val="0007436A"/>
    <w:rsid w:val="0007537B"/>
    <w:rsid w:val="00076C58"/>
    <w:rsid w:val="00080758"/>
    <w:rsid w:val="0008163E"/>
    <w:rsid w:val="00082A2C"/>
    <w:rsid w:val="00083253"/>
    <w:rsid w:val="000842CC"/>
    <w:rsid w:val="000857BC"/>
    <w:rsid w:val="000861C8"/>
    <w:rsid w:val="0009059C"/>
    <w:rsid w:val="00090AED"/>
    <w:rsid w:val="00090AF3"/>
    <w:rsid w:val="00090C8F"/>
    <w:rsid w:val="00090F97"/>
    <w:rsid w:val="00091274"/>
    <w:rsid w:val="00091543"/>
    <w:rsid w:val="00094A43"/>
    <w:rsid w:val="00094FE4"/>
    <w:rsid w:val="000963F6"/>
    <w:rsid w:val="00096EA6"/>
    <w:rsid w:val="00096EBF"/>
    <w:rsid w:val="00097D06"/>
    <w:rsid w:val="000A04EF"/>
    <w:rsid w:val="000A0560"/>
    <w:rsid w:val="000A3DF8"/>
    <w:rsid w:val="000A7555"/>
    <w:rsid w:val="000B1B39"/>
    <w:rsid w:val="000B37CA"/>
    <w:rsid w:val="000B57AD"/>
    <w:rsid w:val="000B6B2B"/>
    <w:rsid w:val="000C0A15"/>
    <w:rsid w:val="000C1F11"/>
    <w:rsid w:val="000C3DA1"/>
    <w:rsid w:val="000C418F"/>
    <w:rsid w:val="000C536D"/>
    <w:rsid w:val="000C6616"/>
    <w:rsid w:val="000D17FB"/>
    <w:rsid w:val="000D2C15"/>
    <w:rsid w:val="000D3B21"/>
    <w:rsid w:val="000D42E9"/>
    <w:rsid w:val="000D759A"/>
    <w:rsid w:val="000E213D"/>
    <w:rsid w:val="000E2488"/>
    <w:rsid w:val="000E30EC"/>
    <w:rsid w:val="000E6704"/>
    <w:rsid w:val="000F146B"/>
    <w:rsid w:val="000F1889"/>
    <w:rsid w:val="000F2DB0"/>
    <w:rsid w:val="000F2F95"/>
    <w:rsid w:val="000F52B2"/>
    <w:rsid w:val="000F6642"/>
    <w:rsid w:val="00100904"/>
    <w:rsid w:val="00101568"/>
    <w:rsid w:val="00102DCA"/>
    <w:rsid w:val="001053FE"/>
    <w:rsid w:val="001132B1"/>
    <w:rsid w:val="001142F8"/>
    <w:rsid w:val="00114849"/>
    <w:rsid w:val="00115D18"/>
    <w:rsid w:val="001179D4"/>
    <w:rsid w:val="00117ED5"/>
    <w:rsid w:val="0012530F"/>
    <w:rsid w:val="001310AA"/>
    <w:rsid w:val="00133127"/>
    <w:rsid w:val="00141673"/>
    <w:rsid w:val="00143D11"/>
    <w:rsid w:val="00143E63"/>
    <w:rsid w:val="00144F7F"/>
    <w:rsid w:val="00146582"/>
    <w:rsid w:val="00147E26"/>
    <w:rsid w:val="001525DA"/>
    <w:rsid w:val="00152A72"/>
    <w:rsid w:val="001531EF"/>
    <w:rsid w:val="001534F9"/>
    <w:rsid w:val="00154987"/>
    <w:rsid w:val="00154E3C"/>
    <w:rsid w:val="00157395"/>
    <w:rsid w:val="00160915"/>
    <w:rsid w:val="00165A1E"/>
    <w:rsid w:val="00165C9D"/>
    <w:rsid w:val="00167E21"/>
    <w:rsid w:val="00171776"/>
    <w:rsid w:val="00171DD9"/>
    <w:rsid w:val="0017426E"/>
    <w:rsid w:val="00174614"/>
    <w:rsid w:val="00174971"/>
    <w:rsid w:val="0018023F"/>
    <w:rsid w:val="0018432B"/>
    <w:rsid w:val="001931A9"/>
    <w:rsid w:val="00193A7C"/>
    <w:rsid w:val="00195102"/>
    <w:rsid w:val="00195FE7"/>
    <w:rsid w:val="00196757"/>
    <w:rsid w:val="001A0594"/>
    <w:rsid w:val="001A0F2F"/>
    <w:rsid w:val="001A47E9"/>
    <w:rsid w:val="001A4AE4"/>
    <w:rsid w:val="001A6FC8"/>
    <w:rsid w:val="001A70A9"/>
    <w:rsid w:val="001B07E6"/>
    <w:rsid w:val="001B2AA3"/>
    <w:rsid w:val="001C0CE4"/>
    <w:rsid w:val="001C0F00"/>
    <w:rsid w:val="001C196E"/>
    <w:rsid w:val="001C37B5"/>
    <w:rsid w:val="001C3EB9"/>
    <w:rsid w:val="001C4F05"/>
    <w:rsid w:val="001C5D7F"/>
    <w:rsid w:val="001C686C"/>
    <w:rsid w:val="001D38A1"/>
    <w:rsid w:val="001D5DEE"/>
    <w:rsid w:val="001E2ACD"/>
    <w:rsid w:val="001E3847"/>
    <w:rsid w:val="001E3AFA"/>
    <w:rsid w:val="001E60A3"/>
    <w:rsid w:val="001F2906"/>
    <w:rsid w:val="001F2EA5"/>
    <w:rsid w:val="001F3169"/>
    <w:rsid w:val="001F40BD"/>
    <w:rsid w:val="001F5F48"/>
    <w:rsid w:val="001F6755"/>
    <w:rsid w:val="001F7D30"/>
    <w:rsid w:val="00207EBB"/>
    <w:rsid w:val="00207FCE"/>
    <w:rsid w:val="0021078D"/>
    <w:rsid w:val="00212A21"/>
    <w:rsid w:val="00212E3C"/>
    <w:rsid w:val="002149A1"/>
    <w:rsid w:val="00215E4F"/>
    <w:rsid w:val="00217673"/>
    <w:rsid w:val="00217C25"/>
    <w:rsid w:val="0022026A"/>
    <w:rsid w:val="00220F6F"/>
    <w:rsid w:val="002220A5"/>
    <w:rsid w:val="002245A8"/>
    <w:rsid w:val="0022565E"/>
    <w:rsid w:val="00225AB3"/>
    <w:rsid w:val="00226700"/>
    <w:rsid w:val="00227BDA"/>
    <w:rsid w:val="002314B3"/>
    <w:rsid w:val="0023349B"/>
    <w:rsid w:val="002336DB"/>
    <w:rsid w:val="00236557"/>
    <w:rsid w:val="0023659E"/>
    <w:rsid w:val="002368C7"/>
    <w:rsid w:val="002378E3"/>
    <w:rsid w:val="00240459"/>
    <w:rsid w:val="00241EE6"/>
    <w:rsid w:val="0024624D"/>
    <w:rsid w:val="00246848"/>
    <w:rsid w:val="00246AE5"/>
    <w:rsid w:val="00251559"/>
    <w:rsid w:val="0025377F"/>
    <w:rsid w:val="0025595B"/>
    <w:rsid w:val="00255CA7"/>
    <w:rsid w:val="00256693"/>
    <w:rsid w:val="002579C8"/>
    <w:rsid w:val="00266D76"/>
    <w:rsid w:val="00272501"/>
    <w:rsid w:val="002817B2"/>
    <w:rsid w:val="0028531D"/>
    <w:rsid w:val="00285C80"/>
    <w:rsid w:val="00285FED"/>
    <w:rsid w:val="0028633E"/>
    <w:rsid w:val="0028634A"/>
    <w:rsid w:val="00286404"/>
    <w:rsid w:val="002901B4"/>
    <w:rsid w:val="002903E0"/>
    <w:rsid w:val="002909B7"/>
    <w:rsid w:val="00291D8C"/>
    <w:rsid w:val="0029216B"/>
    <w:rsid w:val="002938E6"/>
    <w:rsid w:val="00293EE1"/>
    <w:rsid w:val="00294172"/>
    <w:rsid w:val="00296BF9"/>
    <w:rsid w:val="00296FEC"/>
    <w:rsid w:val="002A0A57"/>
    <w:rsid w:val="002A1B08"/>
    <w:rsid w:val="002A2B52"/>
    <w:rsid w:val="002A37F1"/>
    <w:rsid w:val="002A44A6"/>
    <w:rsid w:val="002A78AB"/>
    <w:rsid w:val="002B2FE6"/>
    <w:rsid w:val="002B5452"/>
    <w:rsid w:val="002C0D6E"/>
    <w:rsid w:val="002C18A1"/>
    <w:rsid w:val="002C1EC3"/>
    <w:rsid w:val="002C1F61"/>
    <w:rsid w:val="002C21D1"/>
    <w:rsid w:val="002C3429"/>
    <w:rsid w:val="002C6328"/>
    <w:rsid w:val="002C648B"/>
    <w:rsid w:val="002C7489"/>
    <w:rsid w:val="002D28D8"/>
    <w:rsid w:val="002D29C3"/>
    <w:rsid w:val="002D32A5"/>
    <w:rsid w:val="002D34D0"/>
    <w:rsid w:val="002D3FAD"/>
    <w:rsid w:val="002D49A2"/>
    <w:rsid w:val="002E27EA"/>
    <w:rsid w:val="002E60A7"/>
    <w:rsid w:val="002E7AEC"/>
    <w:rsid w:val="002F079E"/>
    <w:rsid w:val="002F4B39"/>
    <w:rsid w:val="002F6F26"/>
    <w:rsid w:val="002F7C31"/>
    <w:rsid w:val="0030290A"/>
    <w:rsid w:val="003032DC"/>
    <w:rsid w:val="003037C6"/>
    <w:rsid w:val="0030584E"/>
    <w:rsid w:val="00315903"/>
    <w:rsid w:val="00315FC1"/>
    <w:rsid w:val="00321259"/>
    <w:rsid w:val="003215F7"/>
    <w:rsid w:val="003229B1"/>
    <w:rsid w:val="00323FBA"/>
    <w:rsid w:val="00324240"/>
    <w:rsid w:val="003309D3"/>
    <w:rsid w:val="00333210"/>
    <w:rsid w:val="003357F1"/>
    <w:rsid w:val="00350C0A"/>
    <w:rsid w:val="00360A0D"/>
    <w:rsid w:val="00361031"/>
    <w:rsid w:val="00366C3B"/>
    <w:rsid w:val="00366E5E"/>
    <w:rsid w:val="003738D4"/>
    <w:rsid w:val="00373EE9"/>
    <w:rsid w:val="00380003"/>
    <w:rsid w:val="00380B59"/>
    <w:rsid w:val="003820AC"/>
    <w:rsid w:val="00382B3C"/>
    <w:rsid w:val="00382FB2"/>
    <w:rsid w:val="00383961"/>
    <w:rsid w:val="0039041B"/>
    <w:rsid w:val="00390DC4"/>
    <w:rsid w:val="00391669"/>
    <w:rsid w:val="003918C8"/>
    <w:rsid w:val="00393110"/>
    <w:rsid w:val="003A0265"/>
    <w:rsid w:val="003A0D50"/>
    <w:rsid w:val="003A2458"/>
    <w:rsid w:val="003A2F38"/>
    <w:rsid w:val="003A3672"/>
    <w:rsid w:val="003A7E74"/>
    <w:rsid w:val="003B0507"/>
    <w:rsid w:val="003B0540"/>
    <w:rsid w:val="003B49A5"/>
    <w:rsid w:val="003C2681"/>
    <w:rsid w:val="003C3447"/>
    <w:rsid w:val="003C3CD8"/>
    <w:rsid w:val="003C509B"/>
    <w:rsid w:val="003C674C"/>
    <w:rsid w:val="003C69BE"/>
    <w:rsid w:val="003D4601"/>
    <w:rsid w:val="003D5EED"/>
    <w:rsid w:val="003D628D"/>
    <w:rsid w:val="003E1878"/>
    <w:rsid w:val="003E553A"/>
    <w:rsid w:val="003E5CE2"/>
    <w:rsid w:val="003E71E6"/>
    <w:rsid w:val="003F3117"/>
    <w:rsid w:val="003F32A7"/>
    <w:rsid w:val="003F58FD"/>
    <w:rsid w:val="003F73B5"/>
    <w:rsid w:val="003F765D"/>
    <w:rsid w:val="0040090D"/>
    <w:rsid w:val="00401EB0"/>
    <w:rsid w:val="004038F6"/>
    <w:rsid w:val="00403AA3"/>
    <w:rsid w:val="004076BC"/>
    <w:rsid w:val="00407864"/>
    <w:rsid w:val="0041142C"/>
    <w:rsid w:val="00415E00"/>
    <w:rsid w:val="00416764"/>
    <w:rsid w:val="00417257"/>
    <w:rsid w:val="004213A1"/>
    <w:rsid w:val="004225A5"/>
    <w:rsid w:val="00424280"/>
    <w:rsid w:val="00426518"/>
    <w:rsid w:val="0042663E"/>
    <w:rsid w:val="00432FC0"/>
    <w:rsid w:val="00433A98"/>
    <w:rsid w:val="00440217"/>
    <w:rsid w:val="00440E1A"/>
    <w:rsid w:val="00441F12"/>
    <w:rsid w:val="004433B4"/>
    <w:rsid w:val="00443425"/>
    <w:rsid w:val="00445A2D"/>
    <w:rsid w:val="00445F56"/>
    <w:rsid w:val="004466B1"/>
    <w:rsid w:val="00447EE4"/>
    <w:rsid w:val="004570A4"/>
    <w:rsid w:val="00466356"/>
    <w:rsid w:val="004708F9"/>
    <w:rsid w:val="00472541"/>
    <w:rsid w:val="00474B51"/>
    <w:rsid w:val="004768AA"/>
    <w:rsid w:val="0048037A"/>
    <w:rsid w:val="0048267A"/>
    <w:rsid w:val="00482E80"/>
    <w:rsid w:val="00485DEA"/>
    <w:rsid w:val="00487F2B"/>
    <w:rsid w:val="00490DEC"/>
    <w:rsid w:val="0049602B"/>
    <w:rsid w:val="004A1A3C"/>
    <w:rsid w:val="004A23FC"/>
    <w:rsid w:val="004A2F68"/>
    <w:rsid w:val="004B3097"/>
    <w:rsid w:val="004B3562"/>
    <w:rsid w:val="004C1D64"/>
    <w:rsid w:val="004D14E1"/>
    <w:rsid w:val="004D1785"/>
    <w:rsid w:val="004D1F5E"/>
    <w:rsid w:val="004D23A6"/>
    <w:rsid w:val="004D2598"/>
    <w:rsid w:val="004D2A5C"/>
    <w:rsid w:val="004D4088"/>
    <w:rsid w:val="004D5245"/>
    <w:rsid w:val="004D5DC4"/>
    <w:rsid w:val="004E03B5"/>
    <w:rsid w:val="004E160B"/>
    <w:rsid w:val="004E1970"/>
    <w:rsid w:val="004E24E1"/>
    <w:rsid w:val="004E692D"/>
    <w:rsid w:val="004E6D50"/>
    <w:rsid w:val="004F0C8F"/>
    <w:rsid w:val="004F476C"/>
    <w:rsid w:val="004F6941"/>
    <w:rsid w:val="004F75DE"/>
    <w:rsid w:val="00503ECC"/>
    <w:rsid w:val="00504E22"/>
    <w:rsid w:val="005068AD"/>
    <w:rsid w:val="0050702C"/>
    <w:rsid w:val="005123B7"/>
    <w:rsid w:val="00514DBB"/>
    <w:rsid w:val="00515D9D"/>
    <w:rsid w:val="00516597"/>
    <w:rsid w:val="00520511"/>
    <w:rsid w:val="0052130F"/>
    <w:rsid w:val="00521DE8"/>
    <w:rsid w:val="005244D5"/>
    <w:rsid w:val="005252C0"/>
    <w:rsid w:val="00531236"/>
    <w:rsid w:val="00535C24"/>
    <w:rsid w:val="005362CF"/>
    <w:rsid w:val="00540F51"/>
    <w:rsid w:val="00540FD0"/>
    <w:rsid w:val="00544F74"/>
    <w:rsid w:val="00546DB6"/>
    <w:rsid w:val="00547F92"/>
    <w:rsid w:val="00550F42"/>
    <w:rsid w:val="00551AC7"/>
    <w:rsid w:val="00552C10"/>
    <w:rsid w:val="00554650"/>
    <w:rsid w:val="00554D23"/>
    <w:rsid w:val="00555E60"/>
    <w:rsid w:val="005562B3"/>
    <w:rsid w:val="005577FA"/>
    <w:rsid w:val="005611F2"/>
    <w:rsid w:val="00564AB4"/>
    <w:rsid w:val="0056520F"/>
    <w:rsid w:val="00565369"/>
    <w:rsid w:val="00566442"/>
    <w:rsid w:val="00570B00"/>
    <w:rsid w:val="00570D3C"/>
    <w:rsid w:val="0057221A"/>
    <w:rsid w:val="005736C2"/>
    <w:rsid w:val="005827A3"/>
    <w:rsid w:val="0059192C"/>
    <w:rsid w:val="005943B0"/>
    <w:rsid w:val="00595269"/>
    <w:rsid w:val="00596085"/>
    <w:rsid w:val="00597FEB"/>
    <w:rsid w:val="005A0406"/>
    <w:rsid w:val="005A17EC"/>
    <w:rsid w:val="005A2C11"/>
    <w:rsid w:val="005A5051"/>
    <w:rsid w:val="005A5CC8"/>
    <w:rsid w:val="005A70E0"/>
    <w:rsid w:val="005A74F1"/>
    <w:rsid w:val="005B0798"/>
    <w:rsid w:val="005B0C81"/>
    <w:rsid w:val="005B2B67"/>
    <w:rsid w:val="005B3303"/>
    <w:rsid w:val="005B4B9C"/>
    <w:rsid w:val="005B55BE"/>
    <w:rsid w:val="005B6061"/>
    <w:rsid w:val="005B70E7"/>
    <w:rsid w:val="005B72DC"/>
    <w:rsid w:val="005C2E58"/>
    <w:rsid w:val="005C3370"/>
    <w:rsid w:val="005C466F"/>
    <w:rsid w:val="005D04C8"/>
    <w:rsid w:val="005D35AF"/>
    <w:rsid w:val="005D7F59"/>
    <w:rsid w:val="005E2109"/>
    <w:rsid w:val="005E7EDD"/>
    <w:rsid w:val="005E7FFE"/>
    <w:rsid w:val="005F185E"/>
    <w:rsid w:val="005F5653"/>
    <w:rsid w:val="005F6541"/>
    <w:rsid w:val="005F7B44"/>
    <w:rsid w:val="0060442C"/>
    <w:rsid w:val="00606777"/>
    <w:rsid w:val="00606890"/>
    <w:rsid w:val="00612AF7"/>
    <w:rsid w:val="00612D54"/>
    <w:rsid w:val="0061633B"/>
    <w:rsid w:val="0061744D"/>
    <w:rsid w:val="00617884"/>
    <w:rsid w:val="00617BB4"/>
    <w:rsid w:val="006219FC"/>
    <w:rsid w:val="00622A86"/>
    <w:rsid w:val="00623652"/>
    <w:rsid w:val="00623AB8"/>
    <w:rsid w:val="00625381"/>
    <w:rsid w:val="00625BA9"/>
    <w:rsid w:val="00627513"/>
    <w:rsid w:val="00627E39"/>
    <w:rsid w:val="00630B57"/>
    <w:rsid w:val="00632E7C"/>
    <w:rsid w:val="0063425F"/>
    <w:rsid w:val="006366EB"/>
    <w:rsid w:val="00637857"/>
    <w:rsid w:val="00641BA3"/>
    <w:rsid w:val="0064250E"/>
    <w:rsid w:val="0064358B"/>
    <w:rsid w:val="00644C0F"/>
    <w:rsid w:val="00646855"/>
    <w:rsid w:val="00647004"/>
    <w:rsid w:val="00647EEF"/>
    <w:rsid w:val="00647F21"/>
    <w:rsid w:val="006500EF"/>
    <w:rsid w:val="006502B1"/>
    <w:rsid w:val="006527E1"/>
    <w:rsid w:val="00666453"/>
    <w:rsid w:val="0067022C"/>
    <w:rsid w:val="0068004E"/>
    <w:rsid w:val="00680A61"/>
    <w:rsid w:val="006850DA"/>
    <w:rsid w:val="006874DA"/>
    <w:rsid w:val="00691558"/>
    <w:rsid w:val="00693A5B"/>
    <w:rsid w:val="00694F46"/>
    <w:rsid w:val="006955EB"/>
    <w:rsid w:val="00695835"/>
    <w:rsid w:val="006A024E"/>
    <w:rsid w:val="006A24DA"/>
    <w:rsid w:val="006A330A"/>
    <w:rsid w:val="006A3B6C"/>
    <w:rsid w:val="006A3BE1"/>
    <w:rsid w:val="006A3E88"/>
    <w:rsid w:val="006A56ED"/>
    <w:rsid w:val="006C3A73"/>
    <w:rsid w:val="006C7EA9"/>
    <w:rsid w:val="006D1A98"/>
    <w:rsid w:val="006D1C91"/>
    <w:rsid w:val="006D25AE"/>
    <w:rsid w:val="006D2A52"/>
    <w:rsid w:val="006D72DC"/>
    <w:rsid w:val="006E1607"/>
    <w:rsid w:val="006E3FDF"/>
    <w:rsid w:val="006E7162"/>
    <w:rsid w:val="006F07DB"/>
    <w:rsid w:val="006F1B82"/>
    <w:rsid w:val="006F346D"/>
    <w:rsid w:val="006F5742"/>
    <w:rsid w:val="006F6A75"/>
    <w:rsid w:val="007007B2"/>
    <w:rsid w:val="007038AB"/>
    <w:rsid w:val="00703F1F"/>
    <w:rsid w:val="00704A38"/>
    <w:rsid w:val="00704A8C"/>
    <w:rsid w:val="007050C0"/>
    <w:rsid w:val="00705586"/>
    <w:rsid w:val="007079A1"/>
    <w:rsid w:val="007108C7"/>
    <w:rsid w:val="0071139A"/>
    <w:rsid w:val="00712B3F"/>
    <w:rsid w:val="00713A3B"/>
    <w:rsid w:val="00715876"/>
    <w:rsid w:val="0072071E"/>
    <w:rsid w:val="00721C2E"/>
    <w:rsid w:val="0072414D"/>
    <w:rsid w:val="00727BC5"/>
    <w:rsid w:val="007363A7"/>
    <w:rsid w:val="0074354B"/>
    <w:rsid w:val="00745EDB"/>
    <w:rsid w:val="00751359"/>
    <w:rsid w:val="00752738"/>
    <w:rsid w:val="007533C3"/>
    <w:rsid w:val="00756313"/>
    <w:rsid w:val="00756FAE"/>
    <w:rsid w:val="00757CCE"/>
    <w:rsid w:val="00762DC5"/>
    <w:rsid w:val="00765FA9"/>
    <w:rsid w:val="007775AB"/>
    <w:rsid w:val="00780762"/>
    <w:rsid w:val="007843AD"/>
    <w:rsid w:val="00785AF4"/>
    <w:rsid w:val="007861CC"/>
    <w:rsid w:val="00790D56"/>
    <w:rsid w:val="007919FB"/>
    <w:rsid w:val="007946CF"/>
    <w:rsid w:val="00796C72"/>
    <w:rsid w:val="00796E24"/>
    <w:rsid w:val="007A21C0"/>
    <w:rsid w:val="007A2FD6"/>
    <w:rsid w:val="007A5414"/>
    <w:rsid w:val="007A61E9"/>
    <w:rsid w:val="007A791F"/>
    <w:rsid w:val="007A7B83"/>
    <w:rsid w:val="007B0A35"/>
    <w:rsid w:val="007B171D"/>
    <w:rsid w:val="007B44F7"/>
    <w:rsid w:val="007C0A1D"/>
    <w:rsid w:val="007C0F9F"/>
    <w:rsid w:val="007C165B"/>
    <w:rsid w:val="007C244D"/>
    <w:rsid w:val="007C3A97"/>
    <w:rsid w:val="007C448E"/>
    <w:rsid w:val="007C58FC"/>
    <w:rsid w:val="007C772C"/>
    <w:rsid w:val="007D0FEB"/>
    <w:rsid w:val="007D5AF3"/>
    <w:rsid w:val="007D68DC"/>
    <w:rsid w:val="007D6E01"/>
    <w:rsid w:val="007E02AD"/>
    <w:rsid w:val="007E3788"/>
    <w:rsid w:val="007E5048"/>
    <w:rsid w:val="007E54EF"/>
    <w:rsid w:val="007E62DE"/>
    <w:rsid w:val="007E7F84"/>
    <w:rsid w:val="007F027B"/>
    <w:rsid w:val="007F24E9"/>
    <w:rsid w:val="007F2F60"/>
    <w:rsid w:val="007F2FEF"/>
    <w:rsid w:val="007F392A"/>
    <w:rsid w:val="007F3C45"/>
    <w:rsid w:val="007F613C"/>
    <w:rsid w:val="007F726B"/>
    <w:rsid w:val="007F79A3"/>
    <w:rsid w:val="00800A3F"/>
    <w:rsid w:val="008047C6"/>
    <w:rsid w:val="00807415"/>
    <w:rsid w:val="008104D1"/>
    <w:rsid w:val="00810808"/>
    <w:rsid w:val="00815700"/>
    <w:rsid w:val="0081671C"/>
    <w:rsid w:val="00816CDC"/>
    <w:rsid w:val="008170DC"/>
    <w:rsid w:val="00817741"/>
    <w:rsid w:val="00817AB4"/>
    <w:rsid w:val="0082090A"/>
    <w:rsid w:val="00823A8E"/>
    <w:rsid w:val="00823FE3"/>
    <w:rsid w:val="0082421D"/>
    <w:rsid w:val="008252BA"/>
    <w:rsid w:val="008318FA"/>
    <w:rsid w:val="00834C5E"/>
    <w:rsid w:val="00835485"/>
    <w:rsid w:val="008356CF"/>
    <w:rsid w:val="0083725B"/>
    <w:rsid w:val="008375FB"/>
    <w:rsid w:val="00837C55"/>
    <w:rsid w:val="00840DB8"/>
    <w:rsid w:val="00841CA0"/>
    <w:rsid w:val="008427FD"/>
    <w:rsid w:val="0084498D"/>
    <w:rsid w:val="00850C96"/>
    <w:rsid w:val="008607E8"/>
    <w:rsid w:val="00860EAD"/>
    <w:rsid w:val="00865A3E"/>
    <w:rsid w:val="008663D5"/>
    <w:rsid w:val="00872141"/>
    <w:rsid w:val="0087293D"/>
    <w:rsid w:val="0087531C"/>
    <w:rsid w:val="00875487"/>
    <w:rsid w:val="0087627C"/>
    <w:rsid w:val="008773C9"/>
    <w:rsid w:val="0088078E"/>
    <w:rsid w:val="008825F3"/>
    <w:rsid w:val="00882CDA"/>
    <w:rsid w:val="00882DCD"/>
    <w:rsid w:val="00884110"/>
    <w:rsid w:val="00886000"/>
    <w:rsid w:val="00887AED"/>
    <w:rsid w:val="00896341"/>
    <w:rsid w:val="00897433"/>
    <w:rsid w:val="008974CC"/>
    <w:rsid w:val="008A299D"/>
    <w:rsid w:val="008A3933"/>
    <w:rsid w:val="008A415D"/>
    <w:rsid w:val="008A5616"/>
    <w:rsid w:val="008A56B0"/>
    <w:rsid w:val="008A7D44"/>
    <w:rsid w:val="008B0567"/>
    <w:rsid w:val="008B1024"/>
    <w:rsid w:val="008B30FC"/>
    <w:rsid w:val="008B449D"/>
    <w:rsid w:val="008B522E"/>
    <w:rsid w:val="008B58C8"/>
    <w:rsid w:val="008B5F93"/>
    <w:rsid w:val="008B654C"/>
    <w:rsid w:val="008B7827"/>
    <w:rsid w:val="008C1187"/>
    <w:rsid w:val="008C23B0"/>
    <w:rsid w:val="008C326A"/>
    <w:rsid w:val="008C3ED3"/>
    <w:rsid w:val="008C4D1E"/>
    <w:rsid w:val="008C5DE9"/>
    <w:rsid w:val="008C64F5"/>
    <w:rsid w:val="008D22F5"/>
    <w:rsid w:val="008D4FEB"/>
    <w:rsid w:val="008D6158"/>
    <w:rsid w:val="008D616B"/>
    <w:rsid w:val="008E0BE1"/>
    <w:rsid w:val="008E1052"/>
    <w:rsid w:val="008E4283"/>
    <w:rsid w:val="008E53F0"/>
    <w:rsid w:val="008F2492"/>
    <w:rsid w:val="008F3420"/>
    <w:rsid w:val="008F5593"/>
    <w:rsid w:val="008F6294"/>
    <w:rsid w:val="008F78FE"/>
    <w:rsid w:val="008F7E10"/>
    <w:rsid w:val="00900043"/>
    <w:rsid w:val="00901669"/>
    <w:rsid w:val="009021F3"/>
    <w:rsid w:val="00902334"/>
    <w:rsid w:val="00904E40"/>
    <w:rsid w:val="009056C9"/>
    <w:rsid w:val="00906C72"/>
    <w:rsid w:val="0090741B"/>
    <w:rsid w:val="0090771A"/>
    <w:rsid w:val="00910092"/>
    <w:rsid w:val="0091077F"/>
    <w:rsid w:val="00915C1D"/>
    <w:rsid w:val="009160D2"/>
    <w:rsid w:val="0091734E"/>
    <w:rsid w:val="00920363"/>
    <w:rsid w:val="009214A9"/>
    <w:rsid w:val="00922115"/>
    <w:rsid w:val="0092436D"/>
    <w:rsid w:val="00924783"/>
    <w:rsid w:val="0092536E"/>
    <w:rsid w:val="009260C5"/>
    <w:rsid w:val="00927848"/>
    <w:rsid w:val="0093041F"/>
    <w:rsid w:val="009348C7"/>
    <w:rsid w:val="009349F5"/>
    <w:rsid w:val="009363B5"/>
    <w:rsid w:val="00941384"/>
    <w:rsid w:val="00942179"/>
    <w:rsid w:val="00942383"/>
    <w:rsid w:val="00942BB1"/>
    <w:rsid w:val="00943B25"/>
    <w:rsid w:val="009444C8"/>
    <w:rsid w:val="00945065"/>
    <w:rsid w:val="009454A9"/>
    <w:rsid w:val="0095117F"/>
    <w:rsid w:val="00954877"/>
    <w:rsid w:val="00956790"/>
    <w:rsid w:val="00957149"/>
    <w:rsid w:val="0095748F"/>
    <w:rsid w:val="009610E1"/>
    <w:rsid w:val="00961AD8"/>
    <w:rsid w:val="0096446B"/>
    <w:rsid w:val="00964658"/>
    <w:rsid w:val="00966C7C"/>
    <w:rsid w:val="009673B6"/>
    <w:rsid w:val="00970957"/>
    <w:rsid w:val="00971B08"/>
    <w:rsid w:val="00973770"/>
    <w:rsid w:val="00974926"/>
    <w:rsid w:val="00974F5D"/>
    <w:rsid w:val="00976106"/>
    <w:rsid w:val="00981203"/>
    <w:rsid w:val="00982A6B"/>
    <w:rsid w:val="00982AA3"/>
    <w:rsid w:val="00982FC9"/>
    <w:rsid w:val="00984FB0"/>
    <w:rsid w:val="00985B7C"/>
    <w:rsid w:val="0098723D"/>
    <w:rsid w:val="00987752"/>
    <w:rsid w:val="00987FF2"/>
    <w:rsid w:val="009A04A7"/>
    <w:rsid w:val="009A3C1C"/>
    <w:rsid w:val="009B1C69"/>
    <w:rsid w:val="009B3CD1"/>
    <w:rsid w:val="009B59F0"/>
    <w:rsid w:val="009B7964"/>
    <w:rsid w:val="009C1B0C"/>
    <w:rsid w:val="009C1EA7"/>
    <w:rsid w:val="009C3EE3"/>
    <w:rsid w:val="009C7462"/>
    <w:rsid w:val="009C75F0"/>
    <w:rsid w:val="009D1C64"/>
    <w:rsid w:val="009D4D1B"/>
    <w:rsid w:val="009D5183"/>
    <w:rsid w:val="009D5214"/>
    <w:rsid w:val="009E03E6"/>
    <w:rsid w:val="009E69EA"/>
    <w:rsid w:val="009E7257"/>
    <w:rsid w:val="009E7E17"/>
    <w:rsid w:val="009F28E5"/>
    <w:rsid w:val="009F2A65"/>
    <w:rsid w:val="009F305D"/>
    <w:rsid w:val="00A000D4"/>
    <w:rsid w:val="00A01726"/>
    <w:rsid w:val="00A031E8"/>
    <w:rsid w:val="00A043A7"/>
    <w:rsid w:val="00A04ACD"/>
    <w:rsid w:val="00A0505C"/>
    <w:rsid w:val="00A077ED"/>
    <w:rsid w:val="00A07BEF"/>
    <w:rsid w:val="00A11905"/>
    <w:rsid w:val="00A16976"/>
    <w:rsid w:val="00A16BB5"/>
    <w:rsid w:val="00A17966"/>
    <w:rsid w:val="00A17D99"/>
    <w:rsid w:val="00A205D0"/>
    <w:rsid w:val="00A20BC3"/>
    <w:rsid w:val="00A20CE2"/>
    <w:rsid w:val="00A20DAF"/>
    <w:rsid w:val="00A220AD"/>
    <w:rsid w:val="00A239F7"/>
    <w:rsid w:val="00A24321"/>
    <w:rsid w:val="00A24D33"/>
    <w:rsid w:val="00A26C37"/>
    <w:rsid w:val="00A31A74"/>
    <w:rsid w:val="00A31DBE"/>
    <w:rsid w:val="00A31E23"/>
    <w:rsid w:val="00A327C6"/>
    <w:rsid w:val="00A32F46"/>
    <w:rsid w:val="00A35B91"/>
    <w:rsid w:val="00A36C0B"/>
    <w:rsid w:val="00A374F9"/>
    <w:rsid w:val="00A377A3"/>
    <w:rsid w:val="00A402F5"/>
    <w:rsid w:val="00A41219"/>
    <w:rsid w:val="00A4196B"/>
    <w:rsid w:val="00A43755"/>
    <w:rsid w:val="00A45A69"/>
    <w:rsid w:val="00A46B87"/>
    <w:rsid w:val="00A46C46"/>
    <w:rsid w:val="00A479A8"/>
    <w:rsid w:val="00A51809"/>
    <w:rsid w:val="00A5262C"/>
    <w:rsid w:val="00A56F45"/>
    <w:rsid w:val="00A607F3"/>
    <w:rsid w:val="00A6203B"/>
    <w:rsid w:val="00A62739"/>
    <w:rsid w:val="00A63DEE"/>
    <w:rsid w:val="00A64162"/>
    <w:rsid w:val="00A676CC"/>
    <w:rsid w:val="00A73AB1"/>
    <w:rsid w:val="00A8015F"/>
    <w:rsid w:val="00A80587"/>
    <w:rsid w:val="00A86A5C"/>
    <w:rsid w:val="00A905BD"/>
    <w:rsid w:val="00A9426E"/>
    <w:rsid w:val="00A966E4"/>
    <w:rsid w:val="00AA0169"/>
    <w:rsid w:val="00AA098D"/>
    <w:rsid w:val="00AA0DF5"/>
    <w:rsid w:val="00AA1142"/>
    <w:rsid w:val="00AA3449"/>
    <w:rsid w:val="00AA50EE"/>
    <w:rsid w:val="00AA6244"/>
    <w:rsid w:val="00AA74E3"/>
    <w:rsid w:val="00AA7BA9"/>
    <w:rsid w:val="00AB653E"/>
    <w:rsid w:val="00AC0139"/>
    <w:rsid w:val="00AC0D7C"/>
    <w:rsid w:val="00AC1479"/>
    <w:rsid w:val="00AC14A0"/>
    <w:rsid w:val="00AC24AA"/>
    <w:rsid w:val="00AC3B0D"/>
    <w:rsid w:val="00AC3C6D"/>
    <w:rsid w:val="00AC3EF5"/>
    <w:rsid w:val="00AC6280"/>
    <w:rsid w:val="00AC679B"/>
    <w:rsid w:val="00AC6EAE"/>
    <w:rsid w:val="00AD1A11"/>
    <w:rsid w:val="00AD1C72"/>
    <w:rsid w:val="00AD2927"/>
    <w:rsid w:val="00AD2B06"/>
    <w:rsid w:val="00AD2F2E"/>
    <w:rsid w:val="00AD6586"/>
    <w:rsid w:val="00AE2475"/>
    <w:rsid w:val="00AE3B6A"/>
    <w:rsid w:val="00AE5FFD"/>
    <w:rsid w:val="00AE6FF3"/>
    <w:rsid w:val="00AF0C53"/>
    <w:rsid w:val="00AF22C3"/>
    <w:rsid w:val="00AF3328"/>
    <w:rsid w:val="00AF69CD"/>
    <w:rsid w:val="00AF6FB9"/>
    <w:rsid w:val="00AF794A"/>
    <w:rsid w:val="00AF7F2E"/>
    <w:rsid w:val="00B01FC4"/>
    <w:rsid w:val="00B07DA5"/>
    <w:rsid w:val="00B107B6"/>
    <w:rsid w:val="00B126F3"/>
    <w:rsid w:val="00B16ABC"/>
    <w:rsid w:val="00B17037"/>
    <w:rsid w:val="00B17A72"/>
    <w:rsid w:val="00B26330"/>
    <w:rsid w:val="00B2794F"/>
    <w:rsid w:val="00B31066"/>
    <w:rsid w:val="00B315B1"/>
    <w:rsid w:val="00B365BB"/>
    <w:rsid w:val="00B4169B"/>
    <w:rsid w:val="00B43688"/>
    <w:rsid w:val="00B446F9"/>
    <w:rsid w:val="00B45765"/>
    <w:rsid w:val="00B45AEB"/>
    <w:rsid w:val="00B4610B"/>
    <w:rsid w:val="00B470B9"/>
    <w:rsid w:val="00B47D5B"/>
    <w:rsid w:val="00B51F11"/>
    <w:rsid w:val="00B52EF0"/>
    <w:rsid w:val="00B53174"/>
    <w:rsid w:val="00B53289"/>
    <w:rsid w:val="00B535F4"/>
    <w:rsid w:val="00B571D9"/>
    <w:rsid w:val="00B57822"/>
    <w:rsid w:val="00B57FB0"/>
    <w:rsid w:val="00B648D6"/>
    <w:rsid w:val="00B64A72"/>
    <w:rsid w:val="00B64F97"/>
    <w:rsid w:val="00B66DDC"/>
    <w:rsid w:val="00B70F1E"/>
    <w:rsid w:val="00B73F31"/>
    <w:rsid w:val="00B77203"/>
    <w:rsid w:val="00B7772A"/>
    <w:rsid w:val="00B80275"/>
    <w:rsid w:val="00B8063E"/>
    <w:rsid w:val="00B8086F"/>
    <w:rsid w:val="00B80AA7"/>
    <w:rsid w:val="00B81E83"/>
    <w:rsid w:val="00B903A5"/>
    <w:rsid w:val="00B90A5E"/>
    <w:rsid w:val="00B91D81"/>
    <w:rsid w:val="00B92603"/>
    <w:rsid w:val="00B92AA0"/>
    <w:rsid w:val="00B969C7"/>
    <w:rsid w:val="00B96E92"/>
    <w:rsid w:val="00B97635"/>
    <w:rsid w:val="00BA070C"/>
    <w:rsid w:val="00BA0C63"/>
    <w:rsid w:val="00BA142F"/>
    <w:rsid w:val="00BA1FBB"/>
    <w:rsid w:val="00BA2E8E"/>
    <w:rsid w:val="00BA4043"/>
    <w:rsid w:val="00BA5796"/>
    <w:rsid w:val="00BA5D80"/>
    <w:rsid w:val="00BB0064"/>
    <w:rsid w:val="00BB010C"/>
    <w:rsid w:val="00BB1D2A"/>
    <w:rsid w:val="00BB4F4D"/>
    <w:rsid w:val="00BC11F7"/>
    <w:rsid w:val="00BC1492"/>
    <w:rsid w:val="00BC24ED"/>
    <w:rsid w:val="00BC2D97"/>
    <w:rsid w:val="00BC3DA9"/>
    <w:rsid w:val="00BC4D8A"/>
    <w:rsid w:val="00BC62FA"/>
    <w:rsid w:val="00BC6B91"/>
    <w:rsid w:val="00BD111A"/>
    <w:rsid w:val="00BD5A7E"/>
    <w:rsid w:val="00BE0469"/>
    <w:rsid w:val="00BE108C"/>
    <w:rsid w:val="00BE20CA"/>
    <w:rsid w:val="00BF32F4"/>
    <w:rsid w:val="00BF3A7A"/>
    <w:rsid w:val="00BF4049"/>
    <w:rsid w:val="00BF42B4"/>
    <w:rsid w:val="00BF43C7"/>
    <w:rsid w:val="00C023D6"/>
    <w:rsid w:val="00C06A82"/>
    <w:rsid w:val="00C153CD"/>
    <w:rsid w:val="00C17670"/>
    <w:rsid w:val="00C17A9F"/>
    <w:rsid w:val="00C20CA5"/>
    <w:rsid w:val="00C21AC1"/>
    <w:rsid w:val="00C24F8B"/>
    <w:rsid w:val="00C25E1A"/>
    <w:rsid w:val="00C26130"/>
    <w:rsid w:val="00C30433"/>
    <w:rsid w:val="00C306CD"/>
    <w:rsid w:val="00C339C3"/>
    <w:rsid w:val="00C33A25"/>
    <w:rsid w:val="00C34C77"/>
    <w:rsid w:val="00C35826"/>
    <w:rsid w:val="00C373FC"/>
    <w:rsid w:val="00C377C1"/>
    <w:rsid w:val="00C377FA"/>
    <w:rsid w:val="00C4040B"/>
    <w:rsid w:val="00C40687"/>
    <w:rsid w:val="00C41DB0"/>
    <w:rsid w:val="00C4272B"/>
    <w:rsid w:val="00C44353"/>
    <w:rsid w:val="00C4519E"/>
    <w:rsid w:val="00C45FD8"/>
    <w:rsid w:val="00C462C9"/>
    <w:rsid w:val="00C506E6"/>
    <w:rsid w:val="00C52E74"/>
    <w:rsid w:val="00C54B2A"/>
    <w:rsid w:val="00C55171"/>
    <w:rsid w:val="00C557E4"/>
    <w:rsid w:val="00C61921"/>
    <w:rsid w:val="00C62C02"/>
    <w:rsid w:val="00C644AF"/>
    <w:rsid w:val="00C64C73"/>
    <w:rsid w:val="00C668EE"/>
    <w:rsid w:val="00C70AE3"/>
    <w:rsid w:val="00C72194"/>
    <w:rsid w:val="00C7229E"/>
    <w:rsid w:val="00C7344D"/>
    <w:rsid w:val="00C75756"/>
    <w:rsid w:val="00C75C94"/>
    <w:rsid w:val="00C7678D"/>
    <w:rsid w:val="00C8015A"/>
    <w:rsid w:val="00C822BD"/>
    <w:rsid w:val="00C8538F"/>
    <w:rsid w:val="00C85BE5"/>
    <w:rsid w:val="00C916D6"/>
    <w:rsid w:val="00C92874"/>
    <w:rsid w:val="00C9290D"/>
    <w:rsid w:val="00C95387"/>
    <w:rsid w:val="00C95481"/>
    <w:rsid w:val="00CA1CD5"/>
    <w:rsid w:val="00CA1CDD"/>
    <w:rsid w:val="00CA3140"/>
    <w:rsid w:val="00CA5980"/>
    <w:rsid w:val="00CA6937"/>
    <w:rsid w:val="00CB0F39"/>
    <w:rsid w:val="00CB2C12"/>
    <w:rsid w:val="00CB338D"/>
    <w:rsid w:val="00CB40A7"/>
    <w:rsid w:val="00CB5CF2"/>
    <w:rsid w:val="00CB78A1"/>
    <w:rsid w:val="00CC16DD"/>
    <w:rsid w:val="00CC3677"/>
    <w:rsid w:val="00CC3FB6"/>
    <w:rsid w:val="00CC5518"/>
    <w:rsid w:val="00CC5DE8"/>
    <w:rsid w:val="00CC62B1"/>
    <w:rsid w:val="00CC63BE"/>
    <w:rsid w:val="00CD32D1"/>
    <w:rsid w:val="00CD52F7"/>
    <w:rsid w:val="00CD7A2F"/>
    <w:rsid w:val="00CE31D5"/>
    <w:rsid w:val="00CE4428"/>
    <w:rsid w:val="00CE4B4E"/>
    <w:rsid w:val="00CE4DC7"/>
    <w:rsid w:val="00CE4E85"/>
    <w:rsid w:val="00CE4FFB"/>
    <w:rsid w:val="00CE50D1"/>
    <w:rsid w:val="00CF071C"/>
    <w:rsid w:val="00CF0886"/>
    <w:rsid w:val="00CF14F1"/>
    <w:rsid w:val="00CF3B39"/>
    <w:rsid w:val="00CF6A87"/>
    <w:rsid w:val="00D0074A"/>
    <w:rsid w:val="00D05C45"/>
    <w:rsid w:val="00D05E29"/>
    <w:rsid w:val="00D07B57"/>
    <w:rsid w:val="00D10C62"/>
    <w:rsid w:val="00D10E45"/>
    <w:rsid w:val="00D13CDF"/>
    <w:rsid w:val="00D1445F"/>
    <w:rsid w:val="00D14F80"/>
    <w:rsid w:val="00D1716F"/>
    <w:rsid w:val="00D17815"/>
    <w:rsid w:val="00D20470"/>
    <w:rsid w:val="00D24BE3"/>
    <w:rsid w:val="00D27F1C"/>
    <w:rsid w:val="00D30596"/>
    <w:rsid w:val="00D31F06"/>
    <w:rsid w:val="00D34FD8"/>
    <w:rsid w:val="00D36132"/>
    <w:rsid w:val="00D3682A"/>
    <w:rsid w:val="00D37784"/>
    <w:rsid w:val="00D424B5"/>
    <w:rsid w:val="00D458BD"/>
    <w:rsid w:val="00D46935"/>
    <w:rsid w:val="00D50A50"/>
    <w:rsid w:val="00D51554"/>
    <w:rsid w:val="00D51710"/>
    <w:rsid w:val="00D5217F"/>
    <w:rsid w:val="00D52269"/>
    <w:rsid w:val="00D53191"/>
    <w:rsid w:val="00D54C1A"/>
    <w:rsid w:val="00D56949"/>
    <w:rsid w:val="00D57850"/>
    <w:rsid w:val="00D61004"/>
    <w:rsid w:val="00D6182F"/>
    <w:rsid w:val="00D625A5"/>
    <w:rsid w:val="00D66509"/>
    <w:rsid w:val="00D7038E"/>
    <w:rsid w:val="00D72CE2"/>
    <w:rsid w:val="00D758D3"/>
    <w:rsid w:val="00D7681E"/>
    <w:rsid w:val="00D76911"/>
    <w:rsid w:val="00D76CD1"/>
    <w:rsid w:val="00D875B0"/>
    <w:rsid w:val="00D90DBA"/>
    <w:rsid w:val="00D922E8"/>
    <w:rsid w:val="00D960BC"/>
    <w:rsid w:val="00DA0614"/>
    <w:rsid w:val="00DA3866"/>
    <w:rsid w:val="00DB0471"/>
    <w:rsid w:val="00DB3B26"/>
    <w:rsid w:val="00DB3B77"/>
    <w:rsid w:val="00DB523E"/>
    <w:rsid w:val="00DB6186"/>
    <w:rsid w:val="00DB6DE2"/>
    <w:rsid w:val="00DB743C"/>
    <w:rsid w:val="00DC16EC"/>
    <w:rsid w:val="00DC191D"/>
    <w:rsid w:val="00DC213B"/>
    <w:rsid w:val="00DC2375"/>
    <w:rsid w:val="00DC400C"/>
    <w:rsid w:val="00DC4B02"/>
    <w:rsid w:val="00DC51BC"/>
    <w:rsid w:val="00DD1809"/>
    <w:rsid w:val="00DD1BF0"/>
    <w:rsid w:val="00DD1CF0"/>
    <w:rsid w:val="00DD446F"/>
    <w:rsid w:val="00DD587A"/>
    <w:rsid w:val="00DD5EDA"/>
    <w:rsid w:val="00DD7D68"/>
    <w:rsid w:val="00DE2497"/>
    <w:rsid w:val="00DE513C"/>
    <w:rsid w:val="00DE7EE7"/>
    <w:rsid w:val="00DF0515"/>
    <w:rsid w:val="00DF092A"/>
    <w:rsid w:val="00DF2174"/>
    <w:rsid w:val="00DF2236"/>
    <w:rsid w:val="00DF282C"/>
    <w:rsid w:val="00DF3422"/>
    <w:rsid w:val="00DF51EA"/>
    <w:rsid w:val="00DF5873"/>
    <w:rsid w:val="00E009EA"/>
    <w:rsid w:val="00E02B68"/>
    <w:rsid w:val="00E05FE0"/>
    <w:rsid w:val="00E0675F"/>
    <w:rsid w:val="00E101AB"/>
    <w:rsid w:val="00E1079B"/>
    <w:rsid w:val="00E11C31"/>
    <w:rsid w:val="00E120B9"/>
    <w:rsid w:val="00E128AA"/>
    <w:rsid w:val="00E145F5"/>
    <w:rsid w:val="00E16773"/>
    <w:rsid w:val="00E16DEC"/>
    <w:rsid w:val="00E24537"/>
    <w:rsid w:val="00E25708"/>
    <w:rsid w:val="00E26846"/>
    <w:rsid w:val="00E33A92"/>
    <w:rsid w:val="00E3686A"/>
    <w:rsid w:val="00E36E1B"/>
    <w:rsid w:val="00E40691"/>
    <w:rsid w:val="00E4389D"/>
    <w:rsid w:val="00E560F7"/>
    <w:rsid w:val="00E564C4"/>
    <w:rsid w:val="00E5728B"/>
    <w:rsid w:val="00E61B35"/>
    <w:rsid w:val="00E627B8"/>
    <w:rsid w:val="00E64BF4"/>
    <w:rsid w:val="00E659B0"/>
    <w:rsid w:val="00E661E5"/>
    <w:rsid w:val="00E719AF"/>
    <w:rsid w:val="00E72062"/>
    <w:rsid w:val="00E74601"/>
    <w:rsid w:val="00E80239"/>
    <w:rsid w:val="00E82D5B"/>
    <w:rsid w:val="00E8534F"/>
    <w:rsid w:val="00E868AB"/>
    <w:rsid w:val="00E87763"/>
    <w:rsid w:val="00E87D2B"/>
    <w:rsid w:val="00E90C19"/>
    <w:rsid w:val="00E92010"/>
    <w:rsid w:val="00E97033"/>
    <w:rsid w:val="00E9783D"/>
    <w:rsid w:val="00EA2A5F"/>
    <w:rsid w:val="00EA2E0E"/>
    <w:rsid w:val="00EA425E"/>
    <w:rsid w:val="00EA441A"/>
    <w:rsid w:val="00EA5429"/>
    <w:rsid w:val="00EA6070"/>
    <w:rsid w:val="00EA63A8"/>
    <w:rsid w:val="00EA70A1"/>
    <w:rsid w:val="00EA73E6"/>
    <w:rsid w:val="00EA75BE"/>
    <w:rsid w:val="00EB069C"/>
    <w:rsid w:val="00EB071D"/>
    <w:rsid w:val="00EB3C1D"/>
    <w:rsid w:val="00EB5177"/>
    <w:rsid w:val="00EB726E"/>
    <w:rsid w:val="00EB77F2"/>
    <w:rsid w:val="00EC040D"/>
    <w:rsid w:val="00EC04C6"/>
    <w:rsid w:val="00EC0838"/>
    <w:rsid w:val="00EC2C39"/>
    <w:rsid w:val="00EC537A"/>
    <w:rsid w:val="00EC56F4"/>
    <w:rsid w:val="00EC5E05"/>
    <w:rsid w:val="00EC63F4"/>
    <w:rsid w:val="00EC768E"/>
    <w:rsid w:val="00ED4960"/>
    <w:rsid w:val="00EE2A9D"/>
    <w:rsid w:val="00EE2CFE"/>
    <w:rsid w:val="00EE4802"/>
    <w:rsid w:val="00EE4D13"/>
    <w:rsid w:val="00EE5584"/>
    <w:rsid w:val="00EE5E53"/>
    <w:rsid w:val="00EE6712"/>
    <w:rsid w:val="00EE7B9B"/>
    <w:rsid w:val="00EE7D9F"/>
    <w:rsid w:val="00EF0711"/>
    <w:rsid w:val="00EF0925"/>
    <w:rsid w:val="00EF09B7"/>
    <w:rsid w:val="00EF34C5"/>
    <w:rsid w:val="00F000B5"/>
    <w:rsid w:val="00F06DE3"/>
    <w:rsid w:val="00F075CC"/>
    <w:rsid w:val="00F11067"/>
    <w:rsid w:val="00F15BE5"/>
    <w:rsid w:val="00F17B50"/>
    <w:rsid w:val="00F2435E"/>
    <w:rsid w:val="00F30B18"/>
    <w:rsid w:val="00F31C47"/>
    <w:rsid w:val="00F333B1"/>
    <w:rsid w:val="00F40982"/>
    <w:rsid w:val="00F413EB"/>
    <w:rsid w:val="00F41771"/>
    <w:rsid w:val="00F418E9"/>
    <w:rsid w:val="00F435D9"/>
    <w:rsid w:val="00F4552D"/>
    <w:rsid w:val="00F46D60"/>
    <w:rsid w:val="00F5199B"/>
    <w:rsid w:val="00F53697"/>
    <w:rsid w:val="00F53A89"/>
    <w:rsid w:val="00F54149"/>
    <w:rsid w:val="00F6052F"/>
    <w:rsid w:val="00F635BD"/>
    <w:rsid w:val="00F65A54"/>
    <w:rsid w:val="00F662C6"/>
    <w:rsid w:val="00F66744"/>
    <w:rsid w:val="00F6779A"/>
    <w:rsid w:val="00F719C5"/>
    <w:rsid w:val="00F739C0"/>
    <w:rsid w:val="00F749C6"/>
    <w:rsid w:val="00F80EC9"/>
    <w:rsid w:val="00F85745"/>
    <w:rsid w:val="00F86B5F"/>
    <w:rsid w:val="00F87AFD"/>
    <w:rsid w:val="00F92EDA"/>
    <w:rsid w:val="00F95DC5"/>
    <w:rsid w:val="00F975A8"/>
    <w:rsid w:val="00FA0445"/>
    <w:rsid w:val="00FA048C"/>
    <w:rsid w:val="00FA1A7D"/>
    <w:rsid w:val="00FA2462"/>
    <w:rsid w:val="00FA292E"/>
    <w:rsid w:val="00FA41C6"/>
    <w:rsid w:val="00FA46D5"/>
    <w:rsid w:val="00FA60B6"/>
    <w:rsid w:val="00FB1A3F"/>
    <w:rsid w:val="00FB27CB"/>
    <w:rsid w:val="00FB5F2C"/>
    <w:rsid w:val="00FB722A"/>
    <w:rsid w:val="00FC08DB"/>
    <w:rsid w:val="00FC0C3D"/>
    <w:rsid w:val="00FC4F22"/>
    <w:rsid w:val="00FC6E11"/>
    <w:rsid w:val="00FD48D3"/>
    <w:rsid w:val="00FD5F77"/>
    <w:rsid w:val="00FE056D"/>
    <w:rsid w:val="00FE48B6"/>
    <w:rsid w:val="00FE704E"/>
    <w:rsid w:val="00FF06CA"/>
    <w:rsid w:val="00FF4562"/>
    <w:rsid w:val="00FF54ED"/>
    <w:rsid w:val="00FF5656"/>
    <w:rsid w:val="00FF5DDE"/>
    <w:rsid w:val="00FF7E53"/>
    <w:rsid w:val="017E2A82"/>
    <w:rsid w:val="020C62E0"/>
    <w:rsid w:val="0213141D"/>
    <w:rsid w:val="02181129"/>
    <w:rsid w:val="021D673F"/>
    <w:rsid w:val="024A795C"/>
    <w:rsid w:val="025C7268"/>
    <w:rsid w:val="0296436C"/>
    <w:rsid w:val="02CD1F13"/>
    <w:rsid w:val="037759DB"/>
    <w:rsid w:val="03A2514E"/>
    <w:rsid w:val="041B280B"/>
    <w:rsid w:val="04390EE3"/>
    <w:rsid w:val="04722D72"/>
    <w:rsid w:val="04913BFF"/>
    <w:rsid w:val="04BA2023"/>
    <w:rsid w:val="04E0642F"/>
    <w:rsid w:val="04E470A0"/>
    <w:rsid w:val="0596483F"/>
    <w:rsid w:val="05B42F17"/>
    <w:rsid w:val="060914B4"/>
    <w:rsid w:val="062A4F87"/>
    <w:rsid w:val="06D3561E"/>
    <w:rsid w:val="07281A58"/>
    <w:rsid w:val="080D690E"/>
    <w:rsid w:val="08191757"/>
    <w:rsid w:val="08A96637"/>
    <w:rsid w:val="0A4C5E14"/>
    <w:rsid w:val="0ABE7E84"/>
    <w:rsid w:val="0AF20084"/>
    <w:rsid w:val="0BB51797"/>
    <w:rsid w:val="0BBE064B"/>
    <w:rsid w:val="0C0369A6"/>
    <w:rsid w:val="0C281F69"/>
    <w:rsid w:val="0CAC0DEC"/>
    <w:rsid w:val="0D0B0F74"/>
    <w:rsid w:val="0D2A3ABE"/>
    <w:rsid w:val="0DB8731C"/>
    <w:rsid w:val="0E1C7020"/>
    <w:rsid w:val="0E7019A5"/>
    <w:rsid w:val="0F362BEE"/>
    <w:rsid w:val="0F470958"/>
    <w:rsid w:val="0F615EBD"/>
    <w:rsid w:val="0F6C03BE"/>
    <w:rsid w:val="0FD541B5"/>
    <w:rsid w:val="10546FBE"/>
    <w:rsid w:val="10A02A15"/>
    <w:rsid w:val="110C09D7"/>
    <w:rsid w:val="112371A2"/>
    <w:rsid w:val="112E6273"/>
    <w:rsid w:val="117B2B3A"/>
    <w:rsid w:val="119D51A7"/>
    <w:rsid w:val="12723F3D"/>
    <w:rsid w:val="12D6271E"/>
    <w:rsid w:val="12D91662"/>
    <w:rsid w:val="13362245"/>
    <w:rsid w:val="13702B73"/>
    <w:rsid w:val="141C70C5"/>
    <w:rsid w:val="14214A15"/>
    <w:rsid w:val="149C34F4"/>
    <w:rsid w:val="14D777FE"/>
    <w:rsid w:val="15064F76"/>
    <w:rsid w:val="15451DDD"/>
    <w:rsid w:val="161B669A"/>
    <w:rsid w:val="17967191"/>
    <w:rsid w:val="18300B23"/>
    <w:rsid w:val="183D0B4A"/>
    <w:rsid w:val="184C5231"/>
    <w:rsid w:val="18786026"/>
    <w:rsid w:val="18E15979"/>
    <w:rsid w:val="1979415C"/>
    <w:rsid w:val="19BC1F42"/>
    <w:rsid w:val="1A0A7151"/>
    <w:rsid w:val="1A6C3968"/>
    <w:rsid w:val="1AE71241"/>
    <w:rsid w:val="1AE856E5"/>
    <w:rsid w:val="1BED2887"/>
    <w:rsid w:val="1C362480"/>
    <w:rsid w:val="1C7B4336"/>
    <w:rsid w:val="1C9176B6"/>
    <w:rsid w:val="1D2B18B9"/>
    <w:rsid w:val="1D507571"/>
    <w:rsid w:val="1DA8115B"/>
    <w:rsid w:val="1DA82F09"/>
    <w:rsid w:val="1DDF4451"/>
    <w:rsid w:val="1E00340E"/>
    <w:rsid w:val="1E30404E"/>
    <w:rsid w:val="1E9E733A"/>
    <w:rsid w:val="1FC81641"/>
    <w:rsid w:val="200E1FDF"/>
    <w:rsid w:val="204607B7"/>
    <w:rsid w:val="20564E9E"/>
    <w:rsid w:val="208A0FEC"/>
    <w:rsid w:val="21C12FBD"/>
    <w:rsid w:val="22AF6DDF"/>
    <w:rsid w:val="23626967"/>
    <w:rsid w:val="24062738"/>
    <w:rsid w:val="243279D1"/>
    <w:rsid w:val="253908EB"/>
    <w:rsid w:val="25486290"/>
    <w:rsid w:val="25B61F3B"/>
    <w:rsid w:val="26485289"/>
    <w:rsid w:val="265956E8"/>
    <w:rsid w:val="267E0CAB"/>
    <w:rsid w:val="269C7383"/>
    <w:rsid w:val="27554102"/>
    <w:rsid w:val="27736336"/>
    <w:rsid w:val="27A97FAA"/>
    <w:rsid w:val="281C4C20"/>
    <w:rsid w:val="289B1FE8"/>
    <w:rsid w:val="28B43FBE"/>
    <w:rsid w:val="290F208E"/>
    <w:rsid w:val="297168A5"/>
    <w:rsid w:val="2A111E36"/>
    <w:rsid w:val="2A7523C5"/>
    <w:rsid w:val="2B0F6376"/>
    <w:rsid w:val="2B591CE7"/>
    <w:rsid w:val="2BCF42EC"/>
    <w:rsid w:val="2C4464F3"/>
    <w:rsid w:val="2C882884"/>
    <w:rsid w:val="2CAB40B4"/>
    <w:rsid w:val="2CDD4252"/>
    <w:rsid w:val="2D5E35E4"/>
    <w:rsid w:val="2D7E74E4"/>
    <w:rsid w:val="2D9708A4"/>
    <w:rsid w:val="2E2F6D2F"/>
    <w:rsid w:val="2E57203F"/>
    <w:rsid w:val="2E94093B"/>
    <w:rsid w:val="2EBD258D"/>
    <w:rsid w:val="2EBD433B"/>
    <w:rsid w:val="2F5B7149"/>
    <w:rsid w:val="2F9959A7"/>
    <w:rsid w:val="2FD61B58"/>
    <w:rsid w:val="30395C43"/>
    <w:rsid w:val="30B5176D"/>
    <w:rsid w:val="31DF64D1"/>
    <w:rsid w:val="32244DFC"/>
    <w:rsid w:val="32674CE9"/>
    <w:rsid w:val="32963820"/>
    <w:rsid w:val="329F4483"/>
    <w:rsid w:val="32C456D3"/>
    <w:rsid w:val="344D7F0F"/>
    <w:rsid w:val="34B54432"/>
    <w:rsid w:val="353A0493"/>
    <w:rsid w:val="357C7930"/>
    <w:rsid w:val="35D07049"/>
    <w:rsid w:val="35F60F7F"/>
    <w:rsid w:val="36107446"/>
    <w:rsid w:val="36455341"/>
    <w:rsid w:val="37621F23"/>
    <w:rsid w:val="39910B14"/>
    <w:rsid w:val="39CE564E"/>
    <w:rsid w:val="3A2E2C22"/>
    <w:rsid w:val="3AA85EF2"/>
    <w:rsid w:val="3AC01D6E"/>
    <w:rsid w:val="3AD604B2"/>
    <w:rsid w:val="3BC27434"/>
    <w:rsid w:val="3BE253E0"/>
    <w:rsid w:val="3C7324DC"/>
    <w:rsid w:val="3CB94393"/>
    <w:rsid w:val="3CD15B81"/>
    <w:rsid w:val="3D141F11"/>
    <w:rsid w:val="3D145A6E"/>
    <w:rsid w:val="3D2E2FD3"/>
    <w:rsid w:val="3D402D06"/>
    <w:rsid w:val="3DCC00F6"/>
    <w:rsid w:val="3E0930F8"/>
    <w:rsid w:val="3EA846BF"/>
    <w:rsid w:val="3EC90660"/>
    <w:rsid w:val="3EFC4A0B"/>
    <w:rsid w:val="40171A9F"/>
    <w:rsid w:val="407F25CE"/>
    <w:rsid w:val="40AB66E9"/>
    <w:rsid w:val="4114603C"/>
    <w:rsid w:val="424325BB"/>
    <w:rsid w:val="432A7D99"/>
    <w:rsid w:val="433724B6"/>
    <w:rsid w:val="43650DD1"/>
    <w:rsid w:val="44AC2A30"/>
    <w:rsid w:val="453018B3"/>
    <w:rsid w:val="45E25B2F"/>
    <w:rsid w:val="45EA79F1"/>
    <w:rsid w:val="46A06846"/>
    <w:rsid w:val="46D65E00"/>
    <w:rsid w:val="472739AC"/>
    <w:rsid w:val="488E0DCA"/>
    <w:rsid w:val="4B11183E"/>
    <w:rsid w:val="4BB02E05"/>
    <w:rsid w:val="4BC82135"/>
    <w:rsid w:val="4BCF3BD3"/>
    <w:rsid w:val="4BF76C86"/>
    <w:rsid w:val="4C9E35A6"/>
    <w:rsid w:val="4D720CBA"/>
    <w:rsid w:val="4D9E1AAF"/>
    <w:rsid w:val="4E031912"/>
    <w:rsid w:val="4E1458CD"/>
    <w:rsid w:val="4E4146D3"/>
    <w:rsid w:val="4E426780"/>
    <w:rsid w:val="4EA36C51"/>
    <w:rsid w:val="4ED137BE"/>
    <w:rsid w:val="4F2A2ECF"/>
    <w:rsid w:val="4F811208"/>
    <w:rsid w:val="4F895E47"/>
    <w:rsid w:val="4F9071D6"/>
    <w:rsid w:val="4FA669F9"/>
    <w:rsid w:val="4FBC446F"/>
    <w:rsid w:val="4FF43C08"/>
    <w:rsid w:val="5000269E"/>
    <w:rsid w:val="50830AE8"/>
    <w:rsid w:val="50A66AE2"/>
    <w:rsid w:val="519A6437"/>
    <w:rsid w:val="51EC6D8E"/>
    <w:rsid w:val="51F7178E"/>
    <w:rsid w:val="521A722A"/>
    <w:rsid w:val="53986FA1"/>
    <w:rsid w:val="53D77AC9"/>
    <w:rsid w:val="53E977FC"/>
    <w:rsid w:val="543547EF"/>
    <w:rsid w:val="54BA6E89"/>
    <w:rsid w:val="55004DFD"/>
    <w:rsid w:val="550D12C8"/>
    <w:rsid w:val="566E7302"/>
    <w:rsid w:val="56E878F7"/>
    <w:rsid w:val="57A57E57"/>
    <w:rsid w:val="583453FA"/>
    <w:rsid w:val="594F1EAF"/>
    <w:rsid w:val="59561490"/>
    <w:rsid w:val="598D4786"/>
    <w:rsid w:val="5A3B2434"/>
    <w:rsid w:val="5A511C57"/>
    <w:rsid w:val="5A5F38C5"/>
    <w:rsid w:val="5B286E5C"/>
    <w:rsid w:val="5B597A37"/>
    <w:rsid w:val="5B5C6B06"/>
    <w:rsid w:val="5B8A0BEC"/>
    <w:rsid w:val="5BA54009"/>
    <w:rsid w:val="5C261DF7"/>
    <w:rsid w:val="5C7E485A"/>
    <w:rsid w:val="5C91458D"/>
    <w:rsid w:val="5DE60909"/>
    <w:rsid w:val="5EE40F07"/>
    <w:rsid w:val="5EE45D4D"/>
    <w:rsid w:val="5F1871E8"/>
    <w:rsid w:val="60206354"/>
    <w:rsid w:val="603C4A3D"/>
    <w:rsid w:val="61780ECB"/>
    <w:rsid w:val="621A6DD3"/>
    <w:rsid w:val="627C183B"/>
    <w:rsid w:val="627D5CDF"/>
    <w:rsid w:val="638A735E"/>
    <w:rsid w:val="63ED29F1"/>
    <w:rsid w:val="64637881"/>
    <w:rsid w:val="64E57B6C"/>
    <w:rsid w:val="65AB21A8"/>
    <w:rsid w:val="65EB7404"/>
    <w:rsid w:val="66A03D4A"/>
    <w:rsid w:val="66E71979"/>
    <w:rsid w:val="670C7632"/>
    <w:rsid w:val="67140294"/>
    <w:rsid w:val="672C55DE"/>
    <w:rsid w:val="67621960"/>
    <w:rsid w:val="67811876"/>
    <w:rsid w:val="678371C8"/>
    <w:rsid w:val="67A400BF"/>
    <w:rsid w:val="68262975"/>
    <w:rsid w:val="68D75A1D"/>
    <w:rsid w:val="69B33D95"/>
    <w:rsid w:val="69EA2C18"/>
    <w:rsid w:val="6A687275"/>
    <w:rsid w:val="6A927E4E"/>
    <w:rsid w:val="6B4C44A1"/>
    <w:rsid w:val="6B581098"/>
    <w:rsid w:val="6B9A16B0"/>
    <w:rsid w:val="6BE648F5"/>
    <w:rsid w:val="6C0E5BFA"/>
    <w:rsid w:val="6C30791F"/>
    <w:rsid w:val="6C9D38AB"/>
    <w:rsid w:val="6CE8644B"/>
    <w:rsid w:val="6CF43042"/>
    <w:rsid w:val="6D3813CD"/>
    <w:rsid w:val="6E8B3532"/>
    <w:rsid w:val="6ED947CD"/>
    <w:rsid w:val="6FB1521A"/>
    <w:rsid w:val="6FB92D17"/>
    <w:rsid w:val="7076459B"/>
    <w:rsid w:val="70A82C64"/>
    <w:rsid w:val="71C805F9"/>
    <w:rsid w:val="722C6DDA"/>
    <w:rsid w:val="725400DF"/>
    <w:rsid w:val="730B69EF"/>
    <w:rsid w:val="734B7734"/>
    <w:rsid w:val="7379604F"/>
    <w:rsid w:val="73A82490"/>
    <w:rsid w:val="748321EA"/>
    <w:rsid w:val="74AB5B41"/>
    <w:rsid w:val="74F87447"/>
    <w:rsid w:val="754E0E15"/>
    <w:rsid w:val="75954C96"/>
    <w:rsid w:val="76606632"/>
    <w:rsid w:val="76AE24B4"/>
    <w:rsid w:val="76BE00B1"/>
    <w:rsid w:val="76E732D0"/>
    <w:rsid w:val="77B21B30"/>
    <w:rsid w:val="783469E8"/>
    <w:rsid w:val="795D5ACB"/>
    <w:rsid w:val="799A775C"/>
    <w:rsid w:val="79A61220"/>
    <w:rsid w:val="79F079F6"/>
    <w:rsid w:val="7A765096"/>
    <w:rsid w:val="7AF64429"/>
    <w:rsid w:val="7B1E128A"/>
    <w:rsid w:val="7C6A0C2B"/>
    <w:rsid w:val="7C703D67"/>
    <w:rsid w:val="7CE54755"/>
    <w:rsid w:val="7D562F5D"/>
    <w:rsid w:val="7DD520D4"/>
    <w:rsid w:val="7E2A69CE"/>
    <w:rsid w:val="7E5F5E41"/>
    <w:rsid w:val="7EEA6053"/>
    <w:rsid w:val="7F2F3A66"/>
    <w:rsid w:val="7FB87EFF"/>
    <w:rsid w:val="7FBB354B"/>
    <w:rsid w:val="7FE231CE"/>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ourier New" w:hAnsi="Courier New" w:eastAsia="宋体" w:cs="Courier New"/>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nhideWhenUsed="0" w:uiPriority="99" w:semiHidden="0" w:name="heading 2"/>
    <w:lsdException w:qFormat="1" w:unhideWhenUsed="0" w:uiPriority="99" w:semiHidden="0" w:name="heading 3"/>
    <w:lsdException w:qFormat="1" w:unhideWhenUsed="0" w:uiPriority="99" w:semiHidden="0" w:name="heading 4" w:locked="1"/>
    <w:lsdException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qFormat="1" w:unhideWhenUsed="0" w:uiPriority="39" w:semiHidden="0" w:name="toc 2"/>
    <w:lsdException w:qFormat="1" w:unhideWhenUsed="0" w:uiPriority="99" w:semiHidden="0" w:name="toc 3"/>
    <w:lsdException w:qFormat="1" w:unhideWhenUsed="0" w:uiPriority="39"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qFormat="1" w:unhideWhenUsed="0"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99" w:semiHidden="0" w:name="Title"/>
    <w:lsdException w:uiPriority="99" w:name="Closing"/>
    <w:lsdException w:uiPriority="99" w:name="Signature"/>
    <w:lsdException w:qFormat="1" w:uiPriority="1" w:name="Default Paragraph Font"/>
    <w:lsdException w:uiPriority="99" w:name="Body Text"/>
    <w:lsdException w:qFormat="1" w:unhideWhenUsed="0"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99" w:semiHidden="0" w:name="Subtitle" w:locked="1"/>
    <w:lsdException w:uiPriority="99" w:name="Salutation"/>
    <w:lsdException w:qFormat="1" w:unhideWhenUsed="0" w:uiPriority="99" w:name="Date"/>
    <w:lsdException w:uiPriority="99" w:name="Body Text First Indent"/>
    <w:lsdException w:qFormat="1" w:uiPriority="99" w:name="Body Text First Indent 2"/>
    <w:lsdException w:uiPriority="99" w:name="Note Heading"/>
    <w:lsdException w:uiPriority="99" w:name="Body Text 2"/>
    <w:lsdException w:qFormat="1" w:unhideWhenUsed="0" w:uiPriority="99" w:semiHidden="0" w:name="Body Text 3"/>
    <w:lsdException w:uiPriority="99" w:name="Body Text Indent 2"/>
    <w:lsdException w:uiPriority="99" w:name="Body Text Indent 3"/>
    <w:lsdException w:uiPriority="99" w:name="Block Text"/>
    <w:lsdException w:qFormat="1" w:unhideWhenUsed="0" w:uiPriority="99" w:semiHidden="0" w:name="Hyperlink"/>
    <w:lsdException w:uiPriority="99" w:name="FollowedHyperlink"/>
    <w:lsdException w:qFormat="1" w:unhideWhenUsed="0" w:uiPriority="99" w:semiHidden="0" w:name="Strong"/>
    <w:lsdException w:unhideWhenUsed="0" w:uiPriority="0" w:semiHidden="0" w:name="Emphasis" w:locked="1"/>
    <w:lsdException w:uiPriority="99" w:name="Document Map"/>
    <w:lsdException w:qFormat="1" w:unhideWhenUsed="0" w:uiPriority="0" w:semiHidden="0"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nhideWhenUsed="0" w:uiPriority="39" w:semiHidden="0" w:name="Table Grid"/>
    <w:lsdException w:uiPriority="99" w:name="Table Theme"/>
    <w:lsdException w:qFormat="1" w:unhideWhenUsed="0" w:uiPriority="99"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pPr>
    <w:rPr>
      <w:rFonts w:ascii="Courier New" w:hAnsi="Courier New" w:eastAsia="宋体" w:cs="Courier New"/>
      <w:color w:val="000000"/>
      <w:sz w:val="24"/>
      <w:szCs w:val="24"/>
      <w:lang w:val="zh-CN" w:eastAsia="zh-CN" w:bidi="ar-SA"/>
    </w:rPr>
  </w:style>
  <w:style w:type="paragraph" w:styleId="2">
    <w:name w:val="heading 1"/>
    <w:basedOn w:val="1"/>
    <w:next w:val="1"/>
    <w:link w:val="30"/>
    <w:qFormat/>
    <w:uiPriority w:val="99"/>
    <w:pPr>
      <w:keepNext/>
      <w:keepLines/>
      <w:spacing w:line="480" w:lineRule="auto"/>
      <w:outlineLvl w:val="0"/>
    </w:pPr>
    <w:rPr>
      <w:b/>
      <w:bCs/>
      <w:kern w:val="44"/>
      <w:sz w:val="36"/>
      <w:szCs w:val="44"/>
    </w:rPr>
  </w:style>
  <w:style w:type="paragraph" w:styleId="3">
    <w:name w:val="heading 2"/>
    <w:basedOn w:val="1"/>
    <w:next w:val="1"/>
    <w:link w:val="31"/>
    <w:qFormat/>
    <w:uiPriority w:val="99"/>
    <w:pPr>
      <w:keepNext/>
      <w:keepLines/>
      <w:spacing w:line="415" w:lineRule="auto"/>
      <w:jc w:val="both"/>
      <w:outlineLvl w:val="1"/>
    </w:pPr>
    <w:rPr>
      <w:rFonts w:ascii="Arial" w:hAnsi="Arial" w:eastAsia="黑体" w:cs="Times New Roman"/>
      <w:b/>
      <w:bCs/>
      <w:color w:val="auto"/>
      <w:kern w:val="2"/>
      <w:sz w:val="32"/>
      <w:szCs w:val="32"/>
      <w:lang w:val="en-US"/>
    </w:rPr>
  </w:style>
  <w:style w:type="paragraph" w:styleId="4">
    <w:name w:val="heading 3"/>
    <w:basedOn w:val="1"/>
    <w:next w:val="1"/>
    <w:link w:val="32"/>
    <w:qFormat/>
    <w:uiPriority w:val="99"/>
    <w:pPr>
      <w:keepNext/>
      <w:keepLines/>
      <w:spacing w:before="260" w:after="260" w:line="416" w:lineRule="auto"/>
      <w:outlineLvl w:val="2"/>
    </w:pPr>
    <w:rPr>
      <w:b/>
      <w:bCs/>
      <w:sz w:val="32"/>
      <w:szCs w:val="32"/>
    </w:rPr>
  </w:style>
  <w:style w:type="paragraph" w:styleId="5">
    <w:name w:val="heading 4"/>
    <w:basedOn w:val="1"/>
    <w:next w:val="1"/>
    <w:link w:val="33"/>
    <w:qFormat/>
    <w:locked/>
    <w:uiPriority w:val="99"/>
    <w:pPr>
      <w:keepNext/>
      <w:keepLines/>
      <w:spacing w:before="280" w:after="290" w:line="376" w:lineRule="auto"/>
      <w:outlineLvl w:val="3"/>
    </w:pPr>
    <w:rPr>
      <w:rFonts w:ascii="Cambria" w:hAnsi="Cambria" w:cs="Times New Roman"/>
      <w:b/>
      <w:bCs/>
      <w:sz w:val="28"/>
      <w:szCs w:val="28"/>
    </w:rPr>
  </w:style>
  <w:style w:type="character" w:default="1" w:styleId="25">
    <w:name w:val="Default Paragraph Font"/>
    <w:semiHidden/>
    <w:unhideWhenUsed/>
    <w:qFormat/>
    <w:uiPriority w:val="1"/>
  </w:style>
  <w:style w:type="table" w:default="1" w:styleId="23">
    <w:name w:val="Normal Table"/>
    <w:semiHidden/>
    <w:unhideWhenUsed/>
    <w:qFormat/>
    <w:uiPriority w:val="99"/>
    <w:tblPr>
      <w:tblCellMar>
        <w:top w:w="0" w:type="dxa"/>
        <w:left w:w="108" w:type="dxa"/>
        <w:bottom w:w="0" w:type="dxa"/>
        <w:right w:w="108" w:type="dxa"/>
      </w:tblCellMar>
    </w:tblPr>
  </w:style>
  <w:style w:type="paragraph" w:styleId="6">
    <w:name w:val="annotation text"/>
    <w:basedOn w:val="1"/>
    <w:link w:val="114"/>
    <w:qFormat/>
    <w:uiPriority w:val="0"/>
  </w:style>
  <w:style w:type="paragraph" w:styleId="7">
    <w:name w:val="Body Text 3"/>
    <w:basedOn w:val="1"/>
    <w:link w:val="100"/>
    <w:qFormat/>
    <w:uiPriority w:val="99"/>
    <w:pPr>
      <w:jc w:val="both"/>
    </w:pPr>
    <w:rPr>
      <w:rFonts w:ascii="宋体" w:hAnsi="Times New Roman" w:cs="Times New Roman"/>
      <w:color w:val="auto"/>
      <w:kern w:val="2"/>
      <w:szCs w:val="20"/>
      <w:lang w:val="en-US"/>
    </w:rPr>
  </w:style>
  <w:style w:type="paragraph" w:styleId="8">
    <w:name w:val="Body Text Indent"/>
    <w:basedOn w:val="1"/>
    <w:link w:val="103"/>
    <w:semiHidden/>
    <w:qFormat/>
    <w:uiPriority w:val="99"/>
    <w:pPr>
      <w:spacing w:after="120"/>
      <w:ind w:left="420" w:leftChars="200"/>
    </w:pPr>
  </w:style>
  <w:style w:type="paragraph" w:styleId="9">
    <w:name w:val="toc 3"/>
    <w:basedOn w:val="1"/>
    <w:next w:val="1"/>
    <w:qFormat/>
    <w:uiPriority w:val="99"/>
    <w:pPr>
      <w:shd w:val="clear" w:color="auto" w:fill="FFFFFF"/>
      <w:spacing w:before="300" w:line="278" w:lineRule="exact"/>
      <w:jc w:val="distribute"/>
    </w:pPr>
    <w:rPr>
      <w:rFonts w:ascii="MingLiU" w:hAnsi="MingLiU" w:eastAsia="MingLiU" w:cs="MingLiU"/>
      <w:sz w:val="20"/>
      <w:szCs w:val="20"/>
    </w:rPr>
  </w:style>
  <w:style w:type="paragraph" w:styleId="10">
    <w:name w:val="Plain Text"/>
    <w:basedOn w:val="1"/>
    <w:link w:val="105"/>
    <w:qFormat/>
    <w:uiPriority w:val="0"/>
    <w:pPr>
      <w:jc w:val="both"/>
    </w:pPr>
    <w:rPr>
      <w:rFonts w:ascii="宋体" w:cs="Times New Roman"/>
      <w:color w:val="auto"/>
      <w:kern w:val="2"/>
      <w:sz w:val="21"/>
      <w:szCs w:val="20"/>
      <w:lang w:val="en-US"/>
    </w:rPr>
  </w:style>
  <w:style w:type="paragraph" w:styleId="11">
    <w:name w:val="Date"/>
    <w:basedOn w:val="1"/>
    <w:next w:val="1"/>
    <w:link w:val="104"/>
    <w:semiHidden/>
    <w:qFormat/>
    <w:uiPriority w:val="99"/>
    <w:pPr>
      <w:ind w:left="100" w:leftChars="2500"/>
    </w:pPr>
  </w:style>
  <w:style w:type="paragraph" w:styleId="12">
    <w:name w:val="Balloon Text"/>
    <w:basedOn w:val="1"/>
    <w:link w:val="101"/>
    <w:qFormat/>
    <w:uiPriority w:val="0"/>
    <w:rPr>
      <w:sz w:val="18"/>
      <w:szCs w:val="18"/>
    </w:rPr>
  </w:style>
  <w:style w:type="paragraph" w:styleId="13">
    <w:name w:val="footer"/>
    <w:basedOn w:val="1"/>
    <w:link w:val="95"/>
    <w:qFormat/>
    <w:uiPriority w:val="99"/>
    <w:pPr>
      <w:tabs>
        <w:tab w:val="center" w:pos="4153"/>
        <w:tab w:val="right" w:pos="8306"/>
      </w:tabs>
      <w:snapToGrid w:val="0"/>
    </w:pPr>
    <w:rPr>
      <w:sz w:val="18"/>
      <w:szCs w:val="18"/>
    </w:rPr>
  </w:style>
  <w:style w:type="paragraph" w:styleId="14">
    <w:name w:val="header"/>
    <w:basedOn w:val="1"/>
    <w:link w:val="94"/>
    <w:qFormat/>
    <w:uiPriority w:val="0"/>
    <w:pPr>
      <w:pBdr>
        <w:bottom w:val="single" w:color="auto" w:sz="6" w:space="1"/>
      </w:pBdr>
      <w:tabs>
        <w:tab w:val="center" w:pos="4153"/>
        <w:tab w:val="right" w:pos="8306"/>
      </w:tabs>
      <w:snapToGrid w:val="0"/>
      <w:jc w:val="center"/>
    </w:pPr>
    <w:rPr>
      <w:sz w:val="18"/>
      <w:szCs w:val="18"/>
    </w:rPr>
  </w:style>
  <w:style w:type="paragraph" w:styleId="15">
    <w:name w:val="toc 1"/>
    <w:basedOn w:val="1"/>
    <w:next w:val="1"/>
    <w:link w:val="51"/>
    <w:qFormat/>
    <w:uiPriority w:val="39"/>
    <w:pPr>
      <w:tabs>
        <w:tab w:val="left" w:leader="dot" w:pos="8870"/>
      </w:tabs>
      <w:spacing w:line="360" w:lineRule="auto"/>
      <w:jc w:val="both"/>
    </w:pPr>
    <w:rPr>
      <w:rFonts w:ascii="仿宋" w:hAnsi="仿宋" w:eastAsia="仿宋" w:cs="MingLiU"/>
    </w:rPr>
  </w:style>
  <w:style w:type="paragraph" w:styleId="16">
    <w:name w:val="toc 4"/>
    <w:basedOn w:val="1"/>
    <w:next w:val="1"/>
    <w:qFormat/>
    <w:locked/>
    <w:uiPriority w:val="39"/>
    <w:pPr>
      <w:ind w:left="1260" w:leftChars="600"/>
    </w:pPr>
  </w:style>
  <w:style w:type="paragraph" w:styleId="17">
    <w:name w:val="Subtitle"/>
    <w:basedOn w:val="1"/>
    <w:next w:val="1"/>
    <w:link w:val="111"/>
    <w:qFormat/>
    <w:locked/>
    <w:uiPriority w:val="99"/>
    <w:pPr>
      <w:widowControl/>
      <w:spacing w:before="240" w:after="60" w:line="312" w:lineRule="auto"/>
      <w:jc w:val="center"/>
      <w:outlineLvl w:val="1"/>
    </w:pPr>
    <w:rPr>
      <w:rFonts w:ascii="Calibri Light" w:hAnsi="Calibri Light" w:cs="Times New Roman"/>
      <w:b/>
      <w:color w:val="auto"/>
      <w:kern w:val="28"/>
      <w:sz w:val="32"/>
      <w:szCs w:val="20"/>
      <w:lang w:val="en-US"/>
    </w:rPr>
  </w:style>
  <w:style w:type="paragraph" w:styleId="18">
    <w:name w:val="toc 2"/>
    <w:basedOn w:val="1"/>
    <w:next w:val="1"/>
    <w:qFormat/>
    <w:uiPriority w:val="39"/>
    <w:pPr>
      <w:shd w:val="clear" w:color="auto" w:fill="FFFFFF"/>
      <w:spacing w:before="300" w:line="278" w:lineRule="exact"/>
      <w:jc w:val="distribute"/>
    </w:pPr>
    <w:rPr>
      <w:rFonts w:ascii="MingLiU" w:hAnsi="MingLiU" w:eastAsia="MingLiU" w:cs="MingLiU"/>
      <w:sz w:val="20"/>
      <w:szCs w:val="20"/>
    </w:rPr>
  </w:style>
  <w:style w:type="paragraph" w:styleId="19">
    <w:name w:val="Normal (Web)"/>
    <w:basedOn w:val="1"/>
    <w:semiHidden/>
    <w:unhideWhenUsed/>
    <w:qFormat/>
    <w:uiPriority w:val="99"/>
    <w:pPr>
      <w:widowControl/>
      <w:spacing w:before="90"/>
    </w:pPr>
    <w:rPr>
      <w:rFonts w:ascii="Times New Roman" w:hAnsi="Times New Roman" w:cs="Times New Roman" w:eastAsiaTheme="minorEastAsia"/>
      <w:color w:val="auto"/>
      <w:szCs w:val="20"/>
      <w:lang w:val="en-US"/>
    </w:rPr>
  </w:style>
  <w:style w:type="paragraph" w:styleId="20">
    <w:name w:val="Title"/>
    <w:basedOn w:val="1"/>
    <w:next w:val="1"/>
    <w:link w:val="107"/>
    <w:qFormat/>
    <w:uiPriority w:val="99"/>
    <w:pPr>
      <w:spacing w:before="240" w:after="60"/>
      <w:jc w:val="center"/>
      <w:outlineLvl w:val="0"/>
    </w:pPr>
    <w:rPr>
      <w:rFonts w:ascii="Cambria" w:hAnsi="Cambria" w:cs="Times New Roman"/>
      <w:b/>
      <w:bCs/>
      <w:sz w:val="32"/>
      <w:szCs w:val="32"/>
    </w:rPr>
  </w:style>
  <w:style w:type="paragraph" w:styleId="21">
    <w:name w:val="annotation subject"/>
    <w:basedOn w:val="6"/>
    <w:next w:val="6"/>
    <w:link w:val="115"/>
    <w:qFormat/>
    <w:uiPriority w:val="0"/>
    <w:rPr>
      <w:b/>
      <w:bCs/>
    </w:rPr>
  </w:style>
  <w:style w:type="paragraph" w:styleId="22">
    <w:name w:val="Body Text First Indent 2"/>
    <w:basedOn w:val="8"/>
    <w:link w:val="116"/>
    <w:semiHidden/>
    <w:unhideWhenUsed/>
    <w:qFormat/>
    <w:uiPriority w:val="99"/>
    <w:pPr>
      <w:ind w:firstLine="420" w:firstLineChars="200"/>
    </w:pPr>
  </w:style>
  <w:style w:type="table" w:styleId="24">
    <w:name w:val="Table Grid"/>
    <w:basedOn w:val="23"/>
    <w:qFormat/>
    <w:uiPriority w:val="3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styleId="26">
    <w:name w:val="Strong"/>
    <w:basedOn w:val="25"/>
    <w:qFormat/>
    <w:uiPriority w:val="99"/>
    <w:rPr>
      <w:rFonts w:cs="Times New Roman"/>
      <w:b/>
      <w:bCs/>
    </w:rPr>
  </w:style>
  <w:style w:type="character" w:styleId="27">
    <w:name w:val="page number"/>
    <w:basedOn w:val="25"/>
    <w:qFormat/>
    <w:uiPriority w:val="0"/>
  </w:style>
  <w:style w:type="character" w:styleId="28">
    <w:name w:val="Hyperlink"/>
    <w:basedOn w:val="25"/>
    <w:qFormat/>
    <w:uiPriority w:val="99"/>
    <w:rPr>
      <w:rFonts w:cs="Times New Roman"/>
      <w:color w:val="0000FF"/>
      <w:u w:val="single"/>
    </w:rPr>
  </w:style>
  <w:style w:type="character" w:styleId="29">
    <w:name w:val="annotation reference"/>
    <w:basedOn w:val="25"/>
    <w:semiHidden/>
    <w:qFormat/>
    <w:uiPriority w:val="99"/>
    <w:rPr>
      <w:rFonts w:cs="Times New Roman"/>
      <w:sz w:val="21"/>
      <w:szCs w:val="21"/>
    </w:rPr>
  </w:style>
  <w:style w:type="character" w:customStyle="1" w:styleId="30">
    <w:name w:val="标题 1 字符"/>
    <w:basedOn w:val="25"/>
    <w:link w:val="2"/>
    <w:qFormat/>
    <w:locked/>
    <w:uiPriority w:val="99"/>
    <w:rPr>
      <w:rFonts w:cs="Times New Roman"/>
      <w:b/>
      <w:bCs/>
      <w:color w:val="000000"/>
      <w:kern w:val="44"/>
      <w:sz w:val="44"/>
      <w:szCs w:val="44"/>
      <w:lang w:val="zh-CN"/>
    </w:rPr>
  </w:style>
  <w:style w:type="character" w:customStyle="1" w:styleId="31">
    <w:name w:val="标题 2 字符"/>
    <w:basedOn w:val="25"/>
    <w:link w:val="3"/>
    <w:qFormat/>
    <w:locked/>
    <w:uiPriority w:val="99"/>
    <w:rPr>
      <w:rFonts w:ascii="Arial" w:hAnsi="Arial" w:eastAsia="黑体" w:cs="Times New Roman"/>
      <w:b/>
      <w:bCs/>
      <w:sz w:val="32"/>
      <w:szCs w:val="32"/>
    </w:rPr>
  </w:style>
  <w:style w:type="character" w:customStyle="1" w:styleId="32">
    <w:name w:val="标题 3 字符"/>
    <w:basedOn w:val="25"/>
    <w:link w:val="4"/>
    <w:qFormat/>
    <w:locked/>
    <w:uiPriority w:val="99"/>
    <w:rPr>
      <w:rFonts w:eastAsia="Times New Roman" w:cs="Times New Roman"/>
      <w:b/>
      <w:bCs/>
      <w:color w:val="000000"/>
      <w:sz w:val="32"/>
      <w:szCs w:val="32"/>
    </w:rPr>
  </w:style>
  <w:style w:type="character" w:customStyle="1" w:styleId="33">
    <w:name w:val="标题 4 字符"/>
    <w:basedOn w:val="25"/>
    <w:link w:val="5"/>
    <w:qFormat/>
    <w:locked/>
    <w:uiPriority w:val="99"/>
    <w:rPr>
      <w:rFonts w:ascii="Cambria" w:hAnsi="Cambria" w:eastAsia="宋体" w:cs="Times New Roman"/>
      <w:b/>
      <w:bCs/>
      <w:color w:val="000000"/>
      <w:kern w:val="0"/>
      <w:sz w:val="28"/>
      <w:szCs w:val="28"/>
      <w:lang w:val="zh-CN"/>
    </w:rPr>
  </w:style>
  <w:style w:type="character" w:customStyle="1" w:styleId="34">
    <w:name w:val="正文文本 (6) Exact"/>
    <w:basedOn w:val="25"/>
    <w:qFormat/>
    <w:uiPriority w:val="99"/>
    <w:rPr>
      <w:rFonts w:ascii="MingLiU" w:hAnsi="MingLiU" w:eastAsia="MingLiU" w:cs="MingLiU"/>
      <w:sz w:val="28"/>
      <w:szCs w:val="28"/>
      <w:u w:val="none"/>
    </w:rPr>
  </w:style>
  <w:style w:type="character" w:customStyle="1" w:styleId="35">
    <w:name w:val="正文文本 (6) + 间距 2 pt Exact"/>
    <w:basedOn w:val="36"/>
    <w:qFormat/>
    <w:uiPriority w:val="99"/>
    <w:rPr>
      <w:rFonts w:ascii="MingLiU" w:hAnsi="MingLiU" w:eastAsia="MingLiU" w:cs="MingLiU"/>
      <w:spacing w:val="40"/>
      <w:sz w:val="28"/>
      <w:szCs w:val="28"/>
      <w:u w:val="none"/>
    </w:rPr>
  </w:style>
  <w:style w:type="character" w:customStyle="1" w:styleId="36">
    <w:name w:val="正文文本 (6)_"/>
    <w:basedOn w:val="25"/>
    <w:link w:val="37"/>
    <w:qFormat/>
    <w:locked/>
    <w:uiPriority w:val="99"/>
    <w:rPr>
      <w:rFonts w:ascii="MingLiU" w:hAnsi="MingLiU" w:eastAsia="MingLiU" w:cs="MingLiU"/>
      <w:sz w:val="28"/>
      <w:szCs w:val="28"/>
      <w:u w:val="none"/>
    </w:rPr>
  </w:style>
  <w:style w:type="paragraph" w:customStyle="1" w:styleId="37">
    <w:name w:val="正文文本 (6)"/>
    <w:basedOn w:val="1"/>
    <w:link w:val="36"/>
    <w:qFormat/>
    <w:uiPriority w:val="99"/>
    <w:pPr>
      <w:shd w:val="clear" w:color="auto" w:fill="FFFFFF"/>
      <w:spacing w:line="280" w:lineRule="exact"/>
    </w:pPr>
    <w:rPr>
      <w:rFonts w:ascii="MingLiU" w:hAnsi="MingLiU" w:eastAsia="MingLiU" w:cs="MingLiU"/>
      <w:sz w:val="28"/>
      <w:szCs w:val="28"/>
    </w:rPr>
  </w:style>
  <w:style w:type="character" w:customStyle="1" w:styleId="38">
    <w:name w:val="正文文本 (3)_"/>
    <w:basedOn w:val="25"/>
    <w:link w:val="39"/>
    <w:qFormat/>
    <w:locked/>
    <w:uiPriority w:val="99"/>
    <w:rPr>
      <w:rFonts w:ascii="MingLiU" w:hAnsi="MingLiU" w:eastAsia="MingLiU" w:cs="MingLiU"/>
      <w:sz w:val="44"/>
      <w:szCs w:val="44"/>
      <w:u w:val="none"/>
    </w:rPr>
  </w:style>
  <w:style w:type="paragraph" w:customStyle="1" w:styleId="39">
    <w:name w:val="正文文本 (3)"/>
    <w:basedOn w:val="1"/>
    <w:link w:val="38"/>
    <w:qFormat/>
    <w:uiPriority w:val="99"/>
    <w:pPr>
      <w:shd w:val="clear" w:color="auto" w:fill="FFFFFF"/>
      <w:spacing w:after="1040" w:line="440" w:lineRule="exact"/>
      <w:jc w:val="center"/>
    </w:pPr>
    <w:rPr>
      <w:rFonts w:ascii="MingLiU" w:hAnsi="MingLiU" w:eastAsia="MingLiU" w:cs="MingLiU"/>
      <w:sz w:val="44"/>
      <w:szCs w:val="44"/>
    </w:rPr>
  </w:style>
  <w:style w:type="character" w:customStyle="1" w:styleId="40">
    <w:name w:val="正文文本 (3) + 间距 3 pt"/>
    <w:basedOn w:val="38"/>
    <w:qFormat/>
    <w:uiPriority w:val="99"/>
    <w:rPr>
      <w:rFonts w:ascii="MingLiU" w:hAnsi="MingLiU" w:eastAsia="MingLiU" w:cs="MingLiU"/>
      <w:color w:val="000000"/>
      <w:spacing w:val="70"/>
      <w:w w:val="100"/>
      <w:position w:val="0"/>
      <w:sz w:val="44"/>
      <w:szCs w:val="44"/>
      <w:u w:val="none"/>
      <w:lang w:val="zh-CN" w:eastAsia="zh-CN"/>
    </w:rPr>
  </w:style>
  <w:style w:type="character" w:customStyle="1" w:styleId="41">
    <w:name w:val="正文文本 (4)_"/>
    <w:basedOn w:val="25"/>
    <w:link w:val="42"/>
    <w:qFormat/>
    <w:locked/>
    <w:uiPriority w:val="99"/>
    <w:rPr>
      <w:rFonts w:ascii="MingLiU" w:hAnsi="MingLiU" w:eastAsia="MingLiU" w:cs="MingLiU"/>
      <w:spacing w:val="60"/>
      <w:sz w:val="78"/>
      <w:szCs w:val="78"/>
      <w:u w:val="none"/>
    </w:rPr>
  </w:style>
  <w:style w:type="paragraph" w:customStyle="1" w:styleId="42">
    <w:name w:val="正文文本 (4)"/>
    <w:basedOn w:val="1"/>
    <w:link w:val="41"/>
    <w:qFormat/>
    <w:uiPriority w:val="99"/>
    <w:pPr>
      <w:shd w:val="clear" w:color="auto" w:fill="FFFFFF"/>
      <w:spacing w:before="1040" w:line="780" w:lineRule="exact"/>
    </w:pPr>
    <w:rPr>
      <w:rFonts w:ascii="MingLiU" w:hAnsi="MingLiU" w:eastAsia="MingLiU" w:cs="MingLiU"/>
      <w:spacing w:val="60"/>
      <w:sz w:val="78"/>
      <w:szCs w:val="78"/>
    </w:rPr>
  </w:style>
  <w:style w:type="character" w:customStyle="1" w:styleId="43">
    <w:name w:val="正文文本 (5)_"/>
    <w:basedOn w:val="25"/>
    <w:link w:val="44"/>
    <w:qFormat/>
    <w:locked/>
    <w:uiPriority w:val="99"/>
    <w:rPr>
      <w:rFonts w:ascii="MingLiU" w:hAnsi="MingLiU" w:eastAsia="MingLiU" w:cs="MingLiU"/>
      <w:spacing w:val="30"/>
      <w:sz w:val="48"/>
      <w:szCs w:val="48"/>
      <w:u w:val="none"/>
      <w:lang w:val="en-US" w:eastAsia="en-US"/>
    </w:rPr>
  </w:style>
  <w:style w:type="paragraph" w:customStyle="1" w:styleId="44">
    <w:name w:val="正文文本 (5)"/>
    <w:basedOn w:val="1"/>
    <w:link w:val="43"/>
    <w:qFormat/>
    <w:uiPriority w:val="99"/>
    <w:pPr>
      <w:shd w:val="clear" w:color="auto" w:fill="FFFFFF"/>
      <w:spacing w:line="480" w:lineRule="exact"/>
      <w:jc w:val="center"/>
    </w:pPr>
    <w:rPr>
      <w:rFonts w:ascii="MingLiU" w:hAnsi="MingLiU" w:eastAsia="MingLiU" w:cs="MingLiU"/>
      <w:spacing w:val="30"/>
      <w:sz w:val="48"/>
      <w:szCs w:val="48"/>
      <w:lang w:val="en-US" w:eastAsia="en-US"/>
    </w:rPr>
  </w:style>
  <w:style w:type="character" w:customStyle="1" w:styleId="45">
    <w:name w:val="正文文本 (2)_"/>
    <w:basedOn w:val="25"/>
    <w:link w:val="46"/>
    <w:qFormat/>
    <w:locked/>
    <w:uiPriority w:val="99"/>
    <w:rPr>
      <w:rFonts w:ascii="MingLiU" w:hAnsi="MingLiU" w:eastAsia="MingLiU" w:cs="MingLiU"/>
      <w:sz w:val="20"/>
      <w:szCs w:val="20"/>
      <w:u w:val="none"/>
    </w:rPr>
  </w:style>
  <w:style w:type="paragraph" w:customStyle="1" w:styleId="46">
    <w:name w:val="正文文本 (2)1"/>
    <w:basedOn w:val="1"/>
    <w:link w:val="45"/>
    <w:qFormat/>
    <w:uiPriority w:val="99"/>
    <w:pPr>
      <w:shd w:val="clear" w:color="auto" w:fill="FFFFFF"/>
      <w:spacing w:before="700" w:line="499" w:lineRule="exact"/>
      <w:jc w:val="distribute"/>
    </w:pPr>
    <w:rPr>
      <w:rFonts w:ascii="MingLiU" w:hAnsi="MingLiU" w:eastAsia="MingLiU" w:cs="MingLiU"/>
      <w:sz w:val="20"/>
      <w:szCs w:val="20"/>
    </w:rPr>
  </w:style>
  <w:style w:type="character" w:customStyle="1" w:styleId="47">
    <w:name w:val="正文文本 (7)_"/>
    <w:basedOn w:val="25"/>
    <w:link w:val="48"/>
    <w:qFormat/>
    <w:locked/>
    <w:uiPriority w:val="99"/>
    <w:rPr>
      <w:rFonts w:ascii="MingLiU" w:hAnsi="MingLiU" w:eastAsia="MingLiU" w:cs="MingLiU"/>
      <w:sz w:val="28"/>
      <w:szCs w:val="28"/>
      <w:u w:val="none"/>
    </w:rPr>
  </w:style>
  <w:style w:type="paragraph" w:customStyle="1" w:styleId="48">
    <w:name w:val="正文文本 (7)"/>
    <w:basedOn w:val="1"/>
    <w:link w:val="47"/>
    <w:qFormat/>
    <w:uiPriority w:val="99"/>
    <w:pPr>
      <w:shd w:val="clear" w:color="auto" w:fill="FFFFFF"/>
      <w:spacing w:after="400" w:line="280" w:lineRule="exact"/>
      <w:jc w:val="distribute"/>
    </w:pPr>
    <w:rPr>
      <w:rFonts w:ascii="MingLiU" w:hAnsi="MingLiU" w:eastAsia="MingLiU" w:cs="MingLiU"/>
      <w:sz w:val="28"/>
      <w:szCs w:val="28"/>
    </w:rPr>
  </w:style>
  <w:style w:type="character" w:customStyle="1" w:styleId="49">
    <w:name w:val="标题 #1_"/>
    <w:basedOn w:val="25"/>
    <w:link w:val="50"/>
    <w:qFormat/>
    <w:locked/>
    <w:uiPriority w:val="99"/>
    <w:rPr>
      <w:rFonts w:ascii="MingLiU" w:hAnsi="MingLiU" w:eastAsia="MingLiU" w:cs="MingLiU"/>
      <w:sz w:val="44"/>
      <w:szCs w:val="44"/>
      <w:u w:val="none"/>
    </w:rPr>
  </w:style>
  <w:style w:type="paragraph" w:customStyle="1" w:styleId="50">
    <w:name w:val="标题 #1"/>
    <w:basedOn w:val="1"/>
    <w:link w:val="49"/>
    <w:qFormat/>
    <w:uiPriority w:val="99"/>
    <w:pPr>
      <w:shd w:val="clear" w:color="auto" w:fill="FFFFFF"/>
      <w:spacing w:before="1680" w:after="5560" w:line="440" w:lineRule="exact"/>
      <w:jc w:val="center"/>
      <w:outlineLvl w:val="0"/>
    </w:pPr>
    <w:rPr>
      <w:rFonts w:ascii="MingLiU" w:hAnsi="MingLiU" w:eastAsia="MingLiU" w:cs="MingLiU"/>
      <w:sz w:val="44"/>
      <w:szCs w:val="44"/>
    </w:rPr>
  </w:style>
  <w:style w:type="character" w:customStyle="1" w:styleId="51">
    <w:name w:val="TOC 1 字符"/>
    <w:basedOn w:val="25"/>
    <w:link w:val="15"/>
    <w:qFormat/>
    <w:locked/>
    <w:uiPriority w:val="99"/>
    <w:rPr>
      <w:rFonts w:ascii="仿宋" w:hAnsi="仿宋" w:eastAsia="仿宋" w:cs="MingLiU"/>
      <w:color w:val="000000"/>
      <w:sz w:val="24"/>
      <w:szCs w:val="24"/>
      <w:lang w:val="zh-CN"/>
    </w:rPr>
  </w:style>
  <w:style w:type="character" w:customStyle="1" w:styleId="52">
    <w:name w:val="目录 + Times New Roman"/>
    <w:basedOn w:val="51"/>
    <w:qFormat/>
    <w:uiPriority w:val="99"/>
    <w:rPr>
      <w:rFonts w:ascii="Times New Roman" w:hAnsi="Times New Roman" w:eastAsia="仿宋" w:cs="Times New Roman"/>
      <w:i/>
      <w:iCs/>
      <w:color w:val="000000"/>
      <w:spacing w:val="0"/>
      <w:w w:val="100"/>
      <w:position w:val="0"/>
      <w:sz w:val="24"/>
      <w:szCs w:val="24"/>
      <w:lang w:val="zh-CN" w:eastAsia="zh-CN"/>
    </w:rPr>
  </w:style>
  <w:style w:type="character" w:customStyle="1" w:styleId="53">
    <w:name w:val="目录 + Times New Roman1"/>
    <w:basedOn w:val="51"/>
    <w:qFormat/>
    <w:uiPriority w:val="99"/>
    <w:rPr>
      <w:rFonts w:ascii="Times New Roman" w:hAnsi="Times New Roman" w:eastAsia="仿宋" w:cs="Times New Roman"/>
      <w:color w:val="000000"/>
      <w:spacing w:val="0"/>
      <w:w w:val="100"/>
      <w:position w:val="0"/>
      <w:sz w:val="21"/>
      <w:szCs w:val="21"/>
      <w:lang w:val="en-US" w:eastAsia="en-US"/>
    </w:rPr>
  </w:style>
  <w:style w:type="character" w:customStyle="1" w:styleId="54">
    <w:name w:val="页眉或页脚_"/>
    <w:basedOn w:val="25"/>
    <w:link w:val="55"/>
    <w:qFormat/>
    <w:locked/>
    <w:uiPriority w:val="99"/>
    <w:rPr>
      <w:rFonts w:ascii="Times New Roman" w:hAnsi="Times New Roman" w:cs="Times New Roman"/>
      <w:b/>
      <w:bCs/>
      <w:sz w:val="16"/>
      <w:szCs w:val="16"/>
      <w:u w:val="none"/>
    </w:rPr>
  </w:style>
  <w:style w:type="paragraph" w:customStyle="1" w:styleId="55">
    <w:name w:val="页眉或页脚1"/>
    <w:basedOn w:val="1"/>
    <w:link w:val="54"/>
    <w:qFormat/>
    <w:uiPriority w:val="99"/>
    <w:pPr>
      <w:shd w:val="clear" w:color="auto" w:fill="FFFFFF"/>
      <w:spacing w:line="178" w:lineRule="exact"/>
    </w:pPr>
    <w:rPr>
      <w:rFonts w:ascii="Times New Roman" w:hAnsi="Times New Roman" w:cs="Times New Roman"/>
      <w:b/>
      <w:bCs/>
      <w:sz w:val="16"/>
      <w:szCs w:val="16"/>
    </w:rPr>
  </w:style>
  <w:style w:type="character" w:customStyle="1" w:styleId="56">
    <w:name w:val="页眉或页脚"/>
    <w:basedOn w:val="54"/>
    <w:qFormat/>
    <w:uiPriority w:val="99"/>
    <w:rPr>
      <w:rFonts w:ascii="Times New Roman" w:hAnsi="Times New Roman" w:cs="Times New Roman"/>
      <w:color w:val="000000"/>
      <w:spacing w:val="0"/>
      <w:w w:val="100"/>
      <w:position w:val="0"/>
      <w:sz w:val="16"/>
      <w:szCs w:val="16"/>
      <w:u w:val="none"/>
      <w:lang w:val="zh-CN" w:eastAsia="zh-CN"/>
    </w:rPr>
  </w:style>
  <w:style w:type="character" w:customStyle="1" w:styleId="57">
    <w:name w:val="标题 #3_"/>
    <w:basedOn w:val="25"/>
    <w:link w:val="58"/>
    <w:qFormat/>
    <w:locked/>
    <w:uiPriority w:val="99"/>
    <w:rPr>
      <w:rFonts w:ascii="MingLiU" w:hAnsi="MingLiU" w:eastAsia="MingLiU" w:cs="MingLiU"/>
      <w:sz w:val="28"/>
      <w:szCs w:val="28"/>
      <w:u w:val="none"/>
    </w:rPr>
  </w:style>
  <w:style w:type="paragraph" w:customStyle="1" w:styleId="58">
    <w:name w:val="标题 #3"/>
    <w:basedOn w:val="1"/>
    <w:link w:val="57"/>
    <w:qFormat/>
    <w:uiPriority w:val="99"/>
    <w:pPr>
      <w:shd w:val="clear" w:color="auto" w:fill="FFFFFF"/>
      <w:spacing w:before="460" w:after="840" w:line="280" w:lineRule="exact"/>
      <w:outlineLvl w:val="2"/>
    </w:pPr>
    <w:rPr>
      <w:rFonts w:ascii="MingLiU" w:hAnsi="MingLiU" w:eastAsia="MingLiU" w:cs="MingLiU"/>
      <w:sz w:val="28"/>
      <w:szCs w:val="28"/>
    </w:rPr>
  </w:style>
  <w:style w:type="character" w:customStyle="1" w:styleId="59">
    <w:name w:val="正文文本 (2) + Times New Roman"/>
    <w:basedOn w:val="45"/>
    <w:qFormat/>
    <w:uiPriority w:val="99"/>
    <w:rPr>
      <w:rFonts w:ascii="Times New Roman" w:hAnsi="Times New Roman" w:eastAsia="MingLiU" w:cs="Times New Roman"/>
      <w:color w:val="000000"/>
      <w:spacing w:val="0"/>
      <w:w w:val="100"/>
      <w:position w:val="0"/>
      <w:sz w:val="21"/>
      <w:szCs w:val="21"/>
      <w:u w:val="none"/>
      <w:lang w:val="en-US" w:eastAsia="en-US"/>
    </w:rPr>
  </w:style>
  <w:style w:type="character" w:customStyle="1" w:styleId="60">
    <w:name w:val="标题 #2_"/>
    <w:basedOn w:val="25"/>
    <w:link w:val="61"/>
    <w:qFormat/>
    <w:locked/>
    <w:uiPriority w:val="99"/>
    <w:rPr>
      <w:rFonts w:ascii="MingLiU" w:hAnsi="MingLiU" w:eastAsia="MingLiU" w:cs="MingLiU"/>
      <w:sz w:val="32"/>
      <w:szCs w:val="32"/>
      <w:u w:val="none"/>
    </w:rPr>
  </w:style>
  <w:style w:type="paragraph" w:customStyle="1" w:styleId="61">
    <w:name w:val="标题 #2"/>
    <w:basedOn w:val="1"/>
    <w:link w:val="60"/>
    <w:qFormat/>
    <w:uiPriority w:val="99"/>
    <w:pPr>
      <w:shd w:val="clear" w:color="auto" w:fill="FFFFFF"/>
      <w:spacing w:before="460" w:after="340" w:line="320" w:lineRule="exact"/>
      <w:outlineLvl w:val="1"/>
    </w:pPr>
    <w:rPr>
      <w:rFonts w:ascii="MingLiU" w:hAnsi="MingLiU" w:eastAsia="MingLiU" w:cs="MingLiU"/>
      <w:sz w:val="32"/>
      <w:szCs w:val="32"/>
    </w:rPr>
  </w:style>
  <w:style w:type="character" w:customStyle="1" w:styleId="62">
    <w:name w:val="正文文本 (2) + 间距 1 pt"/>
    <w:basedOn w:val="45"/>
    <w:qFormat/>
    <w:uiPriority w:val="99"/>
    <w:rPr>
      <w:rFonts w:ascii="MingLiU" w:hAnsi="MingLiU" w:eastAsia="MingLiU" w:cs="MingLiU"/>
      <w:color w:val="000000"/>
      <w:spacing w:val="30"/>
      <w:w w:val="100"/>
      <w:position w:val="0"/>
      <w:sz w:val="20"/>
      <w:szCs w:val="20"/>
      <w:u w:val="none"/>
      <w:lang w:val="zh-CN" w:eastAsia="zh-CN"/>
    </w:rPr>
  </w:style>
  <w:style w:type="character" w:customStyle="1" w:styleId="63">
    <w:name w:val="正文文本 (2)"/>
    <w:basedOn w:val="45"/>
    <w:qFormat/>
    <w:uiPriority w:val="99"/>
    <w:rPr>
      <w:rFonts w:ascii="MingLiU" w:hAnsi="MingLiU" w:eastAsia="MingLiU" w:cs="MingLiU"/>
      <w:color w:val="000000"/>
      <w:spacing w:val="0"/>
      <w:w w:val="100"/>
      <w:position w:val="0"/>
      <w:sz w:val="20"/>
      <w:szCs w:val="20"/>
      <w:u w:val="none"/>
      <w:lang w:val="zh-CN" w:eastAsia="zh-CN"/>
    </w:rPr>
  </w:style>
  <w:style w:type="character" w:customStyle="1" w:styleId="64">
    <w:name w:val="正文文本 (8)_"/>
    <w:basedOn w:val="25"/>
    <w:link w:val="65"/>
    <w:qFormat/>
    <w:locked/>
    <w:uiPriority w:val="99"/>
    <w:rPr>
      <w:rFonts w:ascii="MingLiU" w:hAnsi="MingLiU" w:eastAsia="MingLiU" w:cs="MingLiU"/>
      <w:sz w:val="32"/>
      <w:szCs w:val="32"/>
      <w:u w:val="none"/>
    </w:rPr>
  </w:style>
  <w:style w:type="paragraph" w:customStyle="1" w:styleId="65">
    <w:name w:val="正文文本 (8)"/>
    <w:basedOn w:val="1"/>
    <w:link w:val="64"/>
    <w:qFormat/>
    <w:uiPriority w:val="99"/>
    <w:pPr>
      <w:shd w:val="clear" w:color="auto" w:fill="FFFFFF"/>
      <w:spacing w:before="440" w:after="300" w:line="320" w:lineRule="exact"/>
    </w:pPr>
    <w:rPr>
      <w:rFonts w:ascii="MingLiU" w:hAnsi="MingLiU" w:eastAsia="MingLiU" w:cs="MingLiU"/>
      <w:sz w:val="32"/>
      <w:szCs w:val="32"/>
    </w:rPr>
  </w:style>
  <w:style w:type="character" w:customStyle="1" w:styleId="66">
    <w:name w:val="目录 (2)_"/>
    <w:basedOn w:val="25"/>
    <w:link w:val="67"/>
    <w:qFormat/>
    <w:locked/>
    <w:uiPriority w:val="99"/>
    <w:rPr>
      <w:rFonts w:ascii="MingLiU" w:hAnsi="MingLiU" w:eastAsia="MingLiU" w:cs="MingLiU"/>
      <w:sz w:val="32"/>
      <w:szCs w:val="32"/>
      <w:u w:val="none"/>
    </w:rPr>
  </w:style>
  <w:style w:type="paragraph" w:customStyle="1" w:styleId="67">
    <w:name w:val="目录 (2)"/>
    <w:basedOn w:val="1"/>
    <w:link w:val="66"/>
    <w:qFormat/>
    <w:uiPriority w:val="99"/>
    <w:pPr>
      <w:shd w:val="clear" w:color="auto" w:fill="FFFFFF"/>
      <w:spacing w:before="300" w:after="300" w:line="320" w:lineRule="exact"/>
    </w:pPr>
    <w:rPr>
      <w:rFonts w:ascii="MingLiU" w:hAnsi="MingLiU" w:eastAsia="MingLiU" w:cs="MingLiU"/>
      <w:sz w:val="32"/>
      <w:szCs w:val="32"/>
    </w:rPr>
  </w:style>
  <w:style w:type="character" w:customStyle="1" w:styleId="68">
    <w:name w:val="目录 + 间距 1 pt"/>
    <w:basedOn w:val="51"/>
    <w:qFormat/>
    <w:uiPriority w:val="99"/>
    <w:rPr>
      <w:rFonts w:ascii="仿宋" w:hAnsi="仿宋" w:eastAsia="仿宋" w:cs="MingLiU"/>
      <w:color w:val="000000"/>
      <w:spacing w:val="30"/>
      <w:w w:val="100"/>
      <w:position w:val="0"/>
      <w:sz w:val="24"/>
      <w:szCs w:val="24"/>
      <w:lang w:val="zh-CN" w:eastAsia="zh-CN"/>
    </w:rPr>
  </w:style>
  <w:style w:type="character" w:customStyle="1" w:styleId="69">
    <w:name w:val="正文文本 (2) + 间距 1 pt1"/>
    <w:basedOn w:val="45"/>
    <w:qFormat/>
    <w:uiPriority w:val="99"/>
    <w:rPr>
      <w:rFonts w:ascii="MingLiU" w:hAnsi="MingLiU" w:eastAsia="MingLiU" w:cs="MingLiU"/>
      <w:color w:val="000000"/>
      <w:spacing w:val="30"/>
      <w:w w:val="100"/>
      <w:position w:val="0"/>
      <w:sz w:val="20"/>
      <w:szCs w:val="20"/>
      <w:u w:val="none"/>
      <w:lang w:val="zh-CN" w:eastAsia="zh-CN"/>
    </w:rPr>
  </w:style>
  <w:style w:type="character" w:customStyle="1" w:styleId="70">
    <w:name w:val="页眉或页脚 + MingLiU"/>
    <w:basedOn w:val="54"/>
    <w:qFormat/>
    <w:uiPriority w:val="99"/>
    <w:rPr>
      <w:rFonts w:ascii="MingLiU" w:hAnsi="MingLiU" w:eastAsia="MingLiU" w:cs="MingLiU"/>
      <w:color w:val="000000"/>
      <w:spacing w:val="0"/>
      <w:w w:val="100"/>
      <w:position w:val="0"/>
      <w:sz w:val="20"/>
      <w:szCs w:val="20"/>
      <w:u w:val="none"/>
      <w:lang w:val="zh-CN" w:eastAsia="zh-CN"/>
    </w:rPr>
  </w:style>
  <w:style w:type="character" w:customStyle="1" w:styleId="71">
    <w:name w:val="正文文本 (2)4"/>
    <w:basedOn w:val="45"/>
    <w:qFormat/>
    <w:uiPriority w:val="99"/>
    <w:rPr>
      <w:rFonts w:ascii="MingLiU" w:hAnsi="MingLiU" w:eastAsia="MingLiU" w:cs="MingLiU"/>
      <w:color w:val="000000"/>
      <w:spacing w:val="0"/>
      <w:w w:val="100"/>
      <w:position w:val="0"/>
      <w:sz w:val="20"/>
      <w:szCs w:val="20"/>
      <w:u w:val="none"/>
      <w:lang w:val="zh-CN" w:eastAsia="zh-CN"/>
    </w:rPr>
  </w:style>
  <w:style w:type="character" w:customStyle="1" w:styleId="72">
    <w:name w:val="正文文本 (2) + Times New Roman1"/>
    <w:basedOn w:val="45"/>
    <w:qFormat/>
    <w:uiPriority w:val="99"/>
    <w:rPr>
      <w:rFonts w:ascii="Times New Roman" w:hAnsi="Times New Roman" w:eastAsia="MingLiU" w:cs="Times New Roman"/>
      <w:color w:val="000000"/>
      <w:spacing w:val="0"/>
      <w:w w:val="100"/>
      <w:position w:val="0"/>
      <w:sz w:val="21"/>
      <w:szCs w:val="21"/>
      <w:u w:val="none"/>
      <w:lang w:val="en-US" w:eastAsia="en-US"/>
    </w:rPr>
  </w:style>
  <w:style w:type="character" w:customStyle="1" w:styleId="73">
    <w:name w:val="正文文本 (2) Exact"/>
    <w:basedOn w:val="25"/>
    <w:qFormat/>
    <w:uiPriority w:val="99"/>
    <w:rPr>
      <w:rFonts w:ascii="MingLiU" w:hAnsi="MingLiU" w:eastAsia="MingLiU" w:cs="MingLiU"/>
      <w:sz w:val="20"/>
      <w:szCs w:val="20"/>
      <w:u w:val="none"/>
    </w:rPr>
  </w:style>
  <w:style w:type="character" w:customStyle="1" w:styleId="74">
    <w:name w:val="标题 #3 + Times New Roman"/>
    <w:basedOn w:val="57"/>
    <w:qFormat/>
    <w:uiPriority w:val="99"/>
    <w:rPr>
      <w:rFonts w:ascii="Times New Roman" w:hAnsi="Times New Roman" w:eastAsia="MingLiU" w:cs="Times New Roman"/>
      <w:color w:val="000000"/>
      <w:spacing w:val="0"/>
      <w:w w:val="100"/>
      <w:position w:val="0"/>
      <w:sz w:val="28"/>
      <w:szCs w:val="28"/>
      <w:u w:val="none"/>
      <w:lang w:val="en-US" w:eastAsia="en-US"/>
    </w:rPr>
  </w:style>
  <w:style w:type="character" w:customStyle="1" w:styleId="75">
    <w:name w:val="正文文本 (2) + 8.5 pt"/>
    <w:basedOn w:val="45"/>
    <w:qFormat/>
    <w:uiPriority w:val="99"/>
    <w:rPr>
      <w:rFonts w:ascii="MingLiU" w:hAnsi="MingLiU" w:eastAsia="MingLiU" w:cs="MingLiU"/>
      <w:color w:val="000000"/>
      <w:spacing w:val="0"/>
      <w:w w:val="100"/>
      <w:position w:val="0"/>
      <w:sz w:val="17"/>
      <w:szCs w:val="17"/>
      <w:u w:val="none"/>
      <w:lang w:val="zh-CN" w:eastAsia="zh-CN"/>
    </w:rPr>
  </w:style>
  <w:style w:type="character" w:customStyle="1" w:styleId="76">
    <w:name w:val="正文文本 (2)3"/>
    <w:basedOn w:val="45"/>
    <w:qFormat/>
    <w:uiPriority w:val="99"/>
    <w:rPr>
      <w:rFonts w:ascii="MingLiU" w:hAnsi="MingLiU" w:eastAsia="MingLiU" w:cs="MingLiU"/>
      <w:color w:val="000000"/>
      <w:spacing w:val="0"/>
      <w:w w:val="100"/>
      <w:position w:val="0"/>
      <w:sz w:val="20"/>
      <w:szCs w:val="20"/>
      <w:u w:val="single"/>
      <w:lang w:val="zh-CN" w:eastAsia="zh-CN"/>
    </w:rPr>
  </w:style>
  <w:style w:type="character" w:customStyle="1" w:styleId="77">
    <w:name w:val="页眉或页脚 + MingLiU2"/>
    <w:basedOn w:val="54"/>
    <w:qFormat/>
    <w:uiPriority w:val="99"/>
    <w:rPr>
      <w:rFonts w:ascii="MingLiU" w:hAnsi="MingLiU" w:eastAsia="MingLiU" w:cs="MingLiU"/>
      <w:color w:val="000000"/>
      <w:spacing w:val="0"/>
      <w:w w:val="100"/>
      <w:position w:val="0"/>
      <w:sz w:val="28"/>
      <w:szCs w:val="28"/>
      <w:u w:val="none"/>
      <w:lang w:val="zh-CN" w:eastAsia="zh-CN"/>
    </w:rPr>
  </w:style>
  <w:style w:type="character" w:customStyle="1" w:styleId="78">
    <w:name w:val="标题 #2 (2)_"/>
    <w:basedOn w:val="25"/>
    <w:link w:val="79"/>
    <w:qFormat/>
    <w:locked/>
    <w:uiPriority w:val="99"/>
    <w:rPr>
      <w:rFonts w:ascii="MingLiU" w:hAnsi="MingLiU" w:eastAsia="MingLiU" w:cs="MingLiU"/>
      <w:sz w:val="28"/>
      <w:szCs w:val="28"/>
      <w:u w:val="none"/>
    </w:rPr>
  </w:style>
  <w:style w:type="paragraph" w:customStyle="1" w:styleId="79">
    <w:name w:val="标题 #2 (2)"/>
    <w:basedOn w:val="1"/>
    <w:link w:val="78"/>
    <w:qFormat/>
    <w:uiPriority w:val="99"/>
    <w:pPr>
      <w:shd w:val="clear" w:color="auto" w:fill="FFFFFF"/>
      <w:spacing w:before="300" w:after="640" w:line="280" w:lineRule="exact"/>
      <w:outlineLvl w:val="1"/>
    </w:pPr>
    <w:rPr>
      <w:rFonts w:ascii="MingLiU" w:hAnsi="MingLiU" w:eastAsia="MingLiU" w:cs="MingLiU"/>
      <w:sz w:val="28"/>
      <w:szCs w:val="28"/>
    </w:rPr>
  </w:style>
  <w:style w:type="character" w:customStyle="1" w:styleId="80">
    <w:name w:val="正文文本 (2)2"/>
    <w:basedOn w:val="45"/>
    <w:qFormat/>
    <w:uiPriority w:val="99"/>
    <w:rPr>
      <w:rFonts w:ascii="MingLiU" w:hAnsi="MingLiU" w:eastAsia="MingLiU" w:cs="MingLiU"/>
      <w:color w:val="333333"/>
      <w:spacing w:val="0"/>
      <w:w w:val="100"/>
      <w:position w:val="0"/>
      <w:sz w:val="20"/>
      <w:szCs w:val="20"/>
      <w:u w:val="none"/>
      <w:lang w:val="zh-CN" w:eastAsia="zh-CN"/>
    </w:rPr>
  </w:style>
  <w:style w:type="character" w:customStyle="1" w:styleId="81">
    <w:name w:val="正文文本 (9)_"/>
    <w:basedOn w:val="25"/>
    <w:link w:val="82"/>
    <w:qFormat/>
    <w:locked/>
    <w:uiPriority w:val="99"/>
    <w:rPr>
      <w:rFonts w:ascii="MingLiU" w:hAnsi="MingLiU" w:eastAsia="MingLiU" w:cs="MingLiU"/>
      <w:i/>
      <w:iCs/>
      <w:sz w:val="32"/>
      <w:szCs w:val="32"/>
      <w:u w:val="none"/>
    </w:rPr>
  </w:style>
  <w:style w:type="paragraph" w:customStyle="1" w:styleId="82">
    <w:name w:val="正文文本 (9)"/>
    <w:basedOn w:val="1"/>
    <w:link w:val="81"/>
    <w:qFormat/>
    <w:uiPriority w:val="99"/>
    <w:pPr>
      <w:shd w:val="clear" w:color="auto" w:fill="FFFFFF"/>
      <w:spacing w:before="320" w:after="540" w:line="320" w:lineRule="exact"/>
    </w:pPr>
    <w:rPr>
      <w:rFonts w:ascii="MingLiU" w:hAnsi="MingLiU" w:eastAsia="MingLiU" w:cs="MingLiU"/>
      <w:i/>
      <w:iCs/>
      <w:sz w:val="32"/>
      <w:szCs w:val="32"/>
    </w:rPr>
  </w:style>
  <w:style w:type="character" w:customStyle="1" w:styleId="83">
    <w:name w:val="正文文本 (10)_"/>
    <w:basedOn w:val="25"/>
    <w:link w:val="84"/>
    <w:qFormat/>
    <w:locked/>
    <w:uiPriority w:val="99"/>
    <w:rPr>
      <w:rFonts w:ascii="MingLiU" w:hAnsi="MingLiU" w:eastAsia="MingLiU" w:cs="MingLiU"/>
      <w:sz w:val="32"/>
      <w:szCs w:val="32"/>
      <w:u w:val="none"/>
    </w:rPr>
  </w:style>
  <w:style w:type="paragraph" w:customStyle="1" w:styleId="84">
    <w:name w:val="正文文本 (10)"/>
    <w:basedOn w:val="1"/>
    <w:link w:val="83"/>
    <w:qFormat/>
    <w:uiPriority w:val="99"/>
    <w:pPr>
      <w:shd w:val="clear" w:color="auto" w:fill="FFFFFF"/>
      <w:spacing w:line="432" w:lineRule="exact"/>
      <w:jc w:val="center"/>
    </w:pPr>
    <w:rPr>
      <w:rFonts w:ascii="MingLiU" w:hAnsi="MingLiU" w:eastAsia="MingLiU" w:cs="MingLiU"/>
      <w:sz w:val="32"/>
      <w:szCs w:val="32"/>
    </w:rPr>
  </w:style>
  <w:style w:type="character" w:customStyle="1" w:styleId="85">
    <w:name w:val="正文文本 (7) Exact"/>
    <w:basedOn w:val="25"/>
    <w:qFormat/>
    <w:uiPriority w:val="99"/>
    <w:rPr>
      <w:rFonts w:ascii="MingLiU" w:hAnsi="MingLiU" w:eastAsia="MingLiU" w:cs="MingLiU"/>
      <w:sz w:val="28"/>
      <w:szCs w:val="28"/>
      <w:u w:val="none"/>
    </w:rPr>
  </w:style>
  <w:style w:type="character" w:customStyle="1" w:styleId="86">
    <w:name w:val="标题 #1 + 间距 11 pt"/>
    <w:basedOn w:val="49"/>
    <w:qFormat/>
    <w:uiPriority w:val="99"/>
    <w:rPr>
      <w:rFonts w:ascii="MingLiU" w:hAnsi="MingLiU" w:eastAsia="MingLiU" w:cs="MingLiU"/>
      <w:color w:val="000000"/>
      <w:spacing w:val="230"/>
      <w:w w:val="100"/>
      <w:position w:val="0"/>
      <w:sz w:val="44"/>
      <w:szCs w:val="44"/>
      <w:u w:val="none"/>
      <w:lang w:val="zh-CN" w:eastAsia="zh-CN"/>
    </w:rPr>
  </w:style>
  <w:style w:type="character" w:customStyle="1" w:styleId="87">
    <w:name w:val="正文文本 (2) + 间距 2 pt"/>
    <w:basedOn w:val="45"/>
    <w:qFormat/>
    <w:uiPriority w:val="99"/>
    <w:rPr>
      <w:rFonts w:ascii="MingLiU" w:hAnsi="MingLiU" w:eastAsia="MingLiU" w:cs="MingLiU"/>
      <w:color w:val="000000"/>
      <w:spacing w:val="50"/>
      <w:w w:val="100"/>
      <w:position w:val="0"/>
      <w:sz w:val="20"/>
      <w:szCs w:val="20"/>
      <w:u w:val="none"/>
      <w:lang w:val="zh-CN" w:eastAsia="zh-CN"/>
    </w:rPr>
  </w:style>
  <w:style w:type="character" w:customStyle="1" w:styleId="88">
    <w:name w:val="正文文本 (2) + 间距 6 pt"/>
    <w:basedOn w:val="45"/>
    <w:qFormat/>
    <w:uiPriority w:val="99"/>
    <w:rPr>
      <w:rFonts w:ascii="MingLiU" w:hAnsi="MingLiU" w:eastAsia="MingLiU" w:cs="MingLiU"/>
      <w:color w:val="000000"/>
      <w:spacing w:val="120"/>
      <w:w w:val="100"/>
      <w:position w:val="0"/>
      <w:sz w:val="20"/>
      <w:szCs w:val="20"/>
      <w:u w:val="none"/>
      <w:lang w:val="zh-CN" w:eastAsia="zh-CN"/>
    </w:rPr>
  </w:style>
  <w:style w:type="character" w:customStyle="1" w:styleId="89">
    <w:name w:val="表格标题_"/>
    <w:basedOn w:val="25"/>
    <w:link w:val="90"/>
    <w:qFormat/>
    <w:locked/>
    <w:uiPriority w:val="99"/>
    <w:rPr>
      <w:rFonts w:ascii="MingLiU" w:hAnsi="MingLiU" w:eastAsia="MingLiU" w:cs="MingLiU"/>
      <w:sz w:val="20"/>
      <w:szCs w:val="20"/>
      <w:u w:val="none"/>
    </w:rPr>
  </w:style>
  <w:style w:type="paragraph" w:customStyle="1" w:styleId="90">
    <w:name w:val="表格标题"/>
    <w:basedOn w:val="1"/>
    <w:link w:val="89"/>
    <w:qFormat/>
    <w:uiPriority w:val="99"/>
    <w:pPr>
      <w:shd w:val="clear" w:color="auto" w:fill="FFFFFF"/>
      <w:spacing w:line="200" w:lineRule="exact"/>
    </w:pPr>
    <w:rPr>
      <w:rFonts w:ascii="MingLiU" w:hAnsi="MingLiU" w:eastAsia="MingLiU" w:cs="MingLiU"/>
      <w:sz w:val="20"/>
      <w:szCs w:val="20"/>
    </w:rPr>
  </w:style>
  <w:style w:type="character" w:customStyle="1" w:styleId="91">
    <w:name w:val="页眉或页脚 + MingLiU1"/>
    <w:basedOn w:val="54"/>
    <w:qFormat/>
    <w:uiPriority w:val="99"/>
    <w:rPr>
      <w:rFonts w:ascii="MingLiU" w:hAnsi="MingLiU" w:eastAsia="MingLiU" w:cs="MingLiU"/>
      <w:color w:val="000000"/>
      <w:spacing w:val="0"/>
      <w:w w:val="100"/>
      <w:position w:val="0"/>
      <w:sz w:val="20"/>
      <w:szCs w:val="20"/>
      <w:u w:val="none"/>
      <w:lang w:val="zh-CN" w:eastAsia="zh-CN"/>
    </w:rPr>
  </w:style>
  <w:style w:type="character" w:customStyle="1" w:styleId="92">
    <w:name w:val="页眉或页脚 + 10.5 pt"/>
    <w:basedOn w:val="54"/>
    <w:qFormat/>
    <w:uiPriority w:val="99"/>
    <w:rPr>
      <w:rFonts w:ascii="Times New Roman" w:hAnsi="Times New Roman" w:cs="Times New Roman"/>
      <w:color w:val="000000"/>
      <w:spacing w:val="0"/>
      <w:w w:val="100"/>
      <w:position w:val="0"/>
      <w:sz w:val="21"/>
      <w:szCs w:val="21"/>
      <w:u w:val="none"/>
      <w:lang w:val="en-US" w:eastAsia="en-US"/>
    </w:rPr>
  </w:style>
  <w:style w:type="character" w:customStyle="1" w:styleId="93">
    <w:name w:val="页眉或页脚 + 7 pt"/>
    <w:basedOn w:val="54"/>
    <w:qFormat/>
    <w:uiPriority w:val="99"/>
    <w:rPr>
      <w:rFonts w:ascii="Times New Roman" w:hAnsi="Times New Roman" w:cs="Times New Roman"/>
      <w:color w:val="000000"/>
      <w:spacing w:val="0"/>
      <w:w w:val="100"/>
      <w:position w:val="0"/>
      <w:sz w:val="14"/>
      <w:szCs w:val="14"/>
      <w:u w:val="none"/>
      <w:lang w:val="en-US" w:eastAsia="en-US"/>
    </w:rPr>
  </w:style>
  <w:style w:type="character" w:customStyle="1" w:styleId="94">
    <w:name w:val="页眉 字符"/>
    <w:basedOn w:val="25"/>
    <w:link w:val="14"/>
    <w:qFormat/>
    <w:locked/>
    <w:uiPriority w:val="0"/>
    <w:rPr>
      <w:rFonts w:eastAsia="Times New Roman" w:cs="Times New Roman"/>
      <w:color w:val="000000"/>
      <w:sz w:val="18"/>
      <w:szCs w:val="18"/>
    </w:rPr>
  </w:style>
  <w:style w:type="character" w:customStyle="1" w:styleId="95">
    <w:name w:val="页脚 字符"/>
    <w:basedOn w:val="25"/>
    <w:link w:val="13"/>
    <w:qFormat/>
    <w:locked/>
    <w:uiPriority w:val="99"/>
    <w:rPr>
      <w:rFonts w:eastAsia="Times New Roman" w:cs="Times New Roman"/>
      <w:color w:val="000000"/>
      <w:sz w:val="18"/>
      <w:szCs w:val="18"/>
    </w:rPr>
  </w:style>
  <w:style w:type="paragraph" w:styleId="96">
    <w:name w:val="List Paragraph"/>
    <w:basedOn w:val="1"/>
    <w:qFormat/>
    <w:uiPriority w:val="99"/>
    <w:pPr>
      <w:ind w:firstLine="420" w:firstLineChars="200"/>
    </w:pPr>
  </w:style>
  <w:style w:type="character" w:customStyle="1" w:styleId="97">
    <w:name w:val="正文文本 (7) + 间距 0 pt"/>
    <w:basedOn w:val="47"/>
    <w:qFormat/>
    <w:uiPriority w:val="99"/>
    <w:rPr>
      <w:rFonts w:ascii="MingLiU" w:hAnsi="MingLiU" w:eastAsia="MingLiU" w:cs="MingLiU"/>
      <w:color w:val="000000"/>
      <w:spacing w:val="0"/>
      <w:w w:val="100"/>
      <w:position w:val="0"/>
      <w:sz w:val="32"/>
      <w:szCs w:val="32"/>
      <w:u w:val="none"/>
      <w:shd w:val="clear" w:color="auto" w:fill="FFFFFF"/>
      <w:lang w:val="zh-TW" w:eastAsia="zh-TW"/>
    </w:rPr>
  </w:style>
  <w:style w:type="character" w:customStyle="1" w:styleId="98">
    <w:name w:val="标题 #2 + 间距 0 pt"/>
    <w:basedOn w:val="60"/>
    <w:qFormat/>
    <w:uiPriority w:val="99"/>
    <w:rPr>
      <w:rFonts w:ascii="MingLiU" w:hAnsi="MingLiU" w:eastAsia="MingLiU" w:cs="MingLiU"/>
      <w:color w:val="000000"/>
      <w:spacing w:val="0"/>
      <w:w w:val="100"/>
      <w:position w:val="0"/>
      <w:sz w:val="32"/>
      <w:szCs w:val="32"/>
      <w:u w:val="none"/>
      <w:shd w:val="clear" w:color="auto" w:fill="FFFFFF"/>
      <w:lang w:val="zh-TW" w:eastAsia="zh-TW"/>
    </w:rPr>
  </w:style>
  <w:style w:type="character" w:customStyle="1" w:styleId="99">
    <w:name w:val="正文文本 (2) + 间距 0 pt"/>
    <w:basedOn w:val="45"/>
    <w:qFormat/>
    <w:uiPriority w:val="99"/>
    <w:rPr>
      <w:rFonts w:ascii="MingLiU" w:hAnsi="MingLiU" w:eastAsia="MingLiU" w:cs="MingLiU"/>
      <w:color w:val="000000"/>
      <w:spacing w:val="-10"/>
      <w:w w:val="100"/>
      <w:position w:val="0"/>
      <w:sz w:val="21"/>
      <w:szCs w:val="21"/>
      <w:u w:val="none"/>
      <w:lang w:val="zh-TW" w:eastAsia="zh-TW"/>
    </w:rPr>
  </w:style>
  <w:style w:type="character" w:customStyle="1" w:styleId="100">
    <w:name w:val="正文文本 3 字符"/>
    <w:basedOn w:val="25"/>
    <w:link w:val="7"/>
    <w:qFormat/>
    <w:locked/>
    <w:uiPriority w:val="99"/>
    <w:rPr>
      <w:rFonts w:ascii="宋体" w:hAnsi="Times New Roman" w:eastAsia="宋体" w:cs="Times New Roman"/>
      <w:kern w:val="2"/>
      <w:sz w:val="20"/>
      <w:szCs w:val="20"/>
      <w:lang w:val="en-US" w:bidi="ar-SA"/>
    </w:rPr>
  </w:style>
  <w:style w:type="character" w:customStyle="1" w:styleId="101">
    <w:name w:val="批注框文本 字符"/>
    <w:basedOn w:val="25"/>
    <w:link w:val="12"/>
    <w:qFormat/>
    <w:locked/>
    <w:uiPriority w:val="0"/>
    <w:rPr>
      <w:rFonts w:eastAsia="Times New Roman" w:cs="Times New Roman"/>
      <w:color w:val="000000"/>
      <w:sz w:val="18"/>
      <w:szCs w:val="18"/>
    </w:rPr>
  </w:style>
  <w:style w:type="paragraph" w:customStyle="1" w:styleId="102">
    <w:name w:val="Default"/>
    <w:qFormat/>
    <w:uiPriority w:val="99"/>
    <w:pPr>
      <w:widowControl w:val="0"/>
      <w:autoSpaceDE w:val="0"/>
      <w:autoSpaceDN w:val="0"/>
      <w:adjustRightInd w:val="0"/>
    </w:pPr>
    <w:rPr>
      <w:rFonts w:ascii="宋体" w:hAnsi="Courier New" w:eastAsia="宋体" w:cs="宋体"/>
      <w:color w:val="000000"/>
      <w:sz w:val="24"/>
      <w:szCs w:val="24"/>
      <w:lang w:val="en-US" w:eastAsia="zh-CN" w:bidi="ar-SA"/>
    </w:rPr>
  </w:style>
  <w:style w:type="character" w:customStyle="1" w:styleId="103">
    <w:name w:val="正文文本缩进 字符"/>
    <w:basedOn w:val="25"/>
    <w:link w:val="8"/>
    <w:semiHidden/>
    <w:qFormat/>
    <w:locked/>
    <w:uiPriority w:val="99"/>
    <w:rPr>
      <w:rFonts w:eastAsia="Times New Roman" w:cs="Times New Roman"/>
      <w:color w:val="000000"/>
    </w:rPr>
  </w:style>
  <w:style w:type="character" w:customStyle="1" w:styleId="104">
    <w:name w:val="日期 字符"/>
    <w:basedOn w:val="25"/>
    <w:link w:val="11"/>
    <w:semiHidden/>
    <w:qFormat/>
    <w:locked/>
    <w:uiPriority w:val="99"/>
    <w:rPr>
      <w:rFonts w:eastAsia="Times New Roman" w:cs="Times New Roman"/>
      <w:color w:val="000000"/>
    </w:rPr>
  </w:style>
  <w:style w:type="character" w:customStyle="1" w:styleId="105">
    <w:name w:val="纯文本 字符"/>
    <w:basedOn w:val="25"/>
    <w:link w:val="10"/>
    <w:qFormat/>
    <w:locked/>
    <w:uiPriority w:val="0"/>
    <w:rPr>
      <w:rFonts w:ascii="宋体" w:eastAsia="宋体" w:cs="Times New Roman"/>
      <w:kern w:val="2"/>
      <w:sz w:val="20"/>
      <w:szCs w:val="20"/>
      <w:lang w:val="en-US" w:bidi="ar-SA"/>
    </w:rPr>
  </w:style>
  <w:style w:type="paragraph" w:styleId="106">
    <w:name w:val="No Spacing"/>
    <w:qFormat/>
    <w:uiPriority w:val="99"/>
    <w:pPr>
      <w:widowControl w:val="0"/>
    </w:pPr>
    <w:rPr>
      <w:rFonts w:ascii="Courier New" w:hAnsi="Courier New" w:eastAsia="宋体" w:cs="Courier New"/>
      <w:color w:val="000000"/>
      <w:sz w:val="24"/>
      <w:szCs w:val="24"/>
      <w:lang w:val="zh-CN" w:eastAsia="zh-CN" w:bidi="ar-SA"/>
    </w:rPr>
  </w:style>
  <w:style w:type="character" w:customStyle="1" w:styleId="107">
    <w:name w:val="标题 字符"/>
    <w:basedOn w:val="25"/>
    <w:link w:val="20"/>
    <w:qFormat/>
    <w:locked/>
    <w:uiPriority w:val="99"/>
    <w:rPr>
      <w:rFonts w:ascii="Cambria" w:hAnsi="Cambria" w:eastAsia="宋体" w:cs="Times New Roman"/>
      <w:b/>
      <w:bCs/>
      <w:color w:val="000000"/>
      <w:sz w:val="32"/>
      <w:szCs w:val="32"/>
    </w:rPr>
  </w:style>
  <w:style w:type="character" w:customStyle="1" w:styleId="108">
    <w:name w:val="正文1 Char"/>
    <w:link w:val="109"/>
    <w:qFormat/>
    <w:locked/>
    <w:uiPriority w:val="99"/>
  </w:style>
  <w:style w:type="paragraph" w:customStyle="1" w:styleId="109">
    <w:name w:val="正文1"/>
    <w:basedOn w:val="1"/>
    <w:link w:val="108"/>
    <w:qFormat/>
    <w:uiPriority w:val="0"/>
    <w:pPr>
      <w:jc w:val="both"/>
    </w:pPr>
    <w:rPr>
      <w:color w:val="auto"/>
      <w:kern w:val="2"/>
      <w:sz w:val="21"/>
      <w:szCs w:val="22"/>
      <w:lang w:val="en-US"/>
    </w:rPr>
  </w:style>
  <w:style w:type="character" w:customStyle="1" w:styleId="110">
    <w:name w:val="Subtitle Char"/>
    <w:qFormat/>
    <w:locked/>
    <w:uiPriority w:val="99"/>
    <w:rPr>
      <w:rFonts w:ascii="Calibri Light" w:hAnsi="Calibri Light"/>
      <w:b/>
      <w:kern w:val="28"/>
      <w:sz w:val="32"/>
    </w:rPr>
  </w:style>
  <w:style w:type="character" w:customStyle="1" w:styleId="111">
    <w:name w:val="副标题 字符"/>
    <w:basedOn w:val="25"/>
    <w:link w:val="17"/>
    <w:qFormat/>
    <w:locked/>
    <w:uiPriority w:val="99"/>
    <w:rPr>
      <w:rFonts w:ascii="Cambria" w:hAnsi="Cambria" w:cs="Times New Roman"/>
      <w:b/>
      <w:bCs/>
      <w:color w:val="000000"/>
      <w:kern w:val="28"/>
      <w:sz w:val="32"/>
      <w:szCs w:val="32"/>
      <w:lang w:val="zh-CN"/>
    </w:rPr>
  </w:style>
  <w:style w:type="character" w:customStyle="1" w:styleId="112">
    <w:name w:val="副标题 Char1"/>
    <w:basedOn w:val="25"/>
    <w:qFormat/>
    <w:uiPriority w:val="99"/>
    <w:rPr>
      <w:rFonts w:ascii="Cambria" w:hAnsi="Cambria" w:cs="Times New Roman"/>
      <w:b/>
      <w:bCs/>
      <w:color w:val="000000"/>
      <w:kern w:val="28"/>
      <w:sz w:val="32"/>
      <w:szCs w:val="32"/>
      <w:lang w:val="zh-CN"/>
    </w:rPr>
  </w:style>
  <w:style w:type="paragraph" w:customStyle="1" w:styleId="113">
    <w:name w:val="目录2"/>
    <w:basedOn w:val="1"/>
    <w:qFormat/>
    <w:uiPriority w:val="99"/>
    <w:pPr>
      <w:spacing w:line="340" w:lineRule="exact"/>
      <w:jc w:val="center"/>
    </w:pPr>
    <w:rPr>
      <w:rFonts w:ascii="宋体" w:hAnsi="宋体" w:cs="Times New Roman"/>
      <w:bCs/>
      <w:color w:val="auto"/>
      <w:kern w:val="2"/>
      <w:sz w:val="32"/>
      <w:lang w:val="en-US"/>
    </w:rPr>
  </w:style>
  <w:style w:type="character" w:customStyle="1" w:styleId="114">
    <w:name w:val="批注文字 字符"/>
    <w:basedOn w:val="25"/>
    <w:link w:val="6"/>
    <w:qFormat/>
    <w:locked/>
    <w:uiPriority w:val="0"/>
    <w:rPr>
      <w:rFonts w:cs="Times New Roman"/>
      <w:color w:val="000000"/>
      <w:kern w:val="0"/>
      <w:sz w:val="24"/>
      <w:szCs w:val="24"/>
      <w:lang w:val="zh-CN"/>
    </w:rPr>
  </w:style>
  <w:style w:type="character" w:customStyle="1" w:styleId="115">
    <w:name w:val="批注主题 字符"/>
    <w:basedOn w:val="114"/>
    <w:link w:val="21"/>
    <w:qFormat/>
    <w:locked/>
    <w:uiPriority w:val="0"/>
    <w:rPr>
      <w:rFonts w:cs="Times New Roman"/>
      <w:b/>
      <w:bCs/>
      <w:color w:val="000000"/>
      <w:kern w:val="0"/>
      <w:sz w:val="24"/>
      <w:szCs w:val="24"/>
      <w:lang w:val="zh-CN"/>
    </w:rPr>
  </w:style>
  <w:style w:type="character" w:customStyle="1" w:styleId="116">
    <w:name w:val="正文文本首行缩进 2 字符"/>
    <w:basedOn w:val="103"/>
    <w:link w:val="22"/>
    <w:semiHidden/>
    <w:qFormat/>
    <w:uiPriority w:val="99"/>
    <w:rPr>
      <w:rFonts w:eastAsia="Times New Roman" w:cs="Times New Roman"/>
      <w:color w:val="000000"/>
      <w:sz w:val="24"/>
      <w:szCs w:val="24"/>
      <w:lang w:val="zh-CN"/>
    </w:rPr>
  </w:style>
  <w:style w:type="character" w:customStyle="1" w:styleId="117">
    <w:name w:val="样式 标题 2 + Times New Roman 四号 非加粗 段前: 5 磅 段后: 0 磅 行距: 固定值 20... Char"/>
    <w:link w:val="118"/>
    <w:qFormat/>
    <w:locked/>
    <w:uiPriority w:val="0"/>
    <w:rPr>
      <w:rFonts w:ascii="Times New Roman" w:hAnsi="Times New Roman" w:eastAsia="黑体" w:cs="宋体"/>
      <w:sz w:val="28"/>
    </w:rPr>
  </w:style>
  <w:style w:type="paragraph" w:customStyle="1" w:styleId="118">
    <w:name w:val="样式 标题 2 + Times New Roman 四号 非加粗 段前: 5 磅 段后: 0 磅 行距: 固定值 20..."/>
    <w:basedOn w:val="3"/>
    <w:link w:val="117"/>
    <w:qFormat/>
    <w:uiPriority w:val="0"/>
    <w:pPr>
      <w:spacing w:before="100" w:line="400" w:lineRule="exact"/>
    </w:pPr>
    <w:rPr>
      <w:rFonts w:ascii="Times New Roman" w:hAnsi="Times New Roman" w:cs="宋体"/>
      <w:b w:val="0"/>
      <w:bCs w:val="0"/>
      <w:kern w:val="0"/>
      <w:sz w:val="28"/>
      <w:szCs w:val="20"/>
    </w:rPr>
  </w:style>
  <w:style w:type="paragraph" w:customStyle="1" w:styleId="119">
    <w:name w:val="样式2"/>
    <w:basedOn w:val="1"/>
    <w:link w:val="120"/>
    <w:qFormat/>
    <w:uiPriority w:val="0"/>
    <w:pPr>
      <w:spacing w:beforeLines="50" w:line="360" w:lineRule="auto"/>
      <w:jc w:val="center"/>
      <w:outlineLvl w:val="0"/>
    </w:pPr>
    <w:rPr>
      <w:rFonts w:ascii="Times New Roman" w:hAnsi="Times New Roman" w:eastAsia="黑体" w:cs="Times New Roman"/>
      <w:b/>
      <w:color w:val="auto"/>
      <w:kern w:val="2"/>
      <w:sz w:val="44"/>
      <w:szCs w:val="44"/>
      <w:lang w:val="en-US"/>
    </w:rPr>
  </w:style>
  <w:style w:type="character" w:customStyle="1" w:styleId="120">
    <w:name w:val="样式2 Char"/>
    <w:link w:val="119"/>
    <w:qFormat/>
    <w:locked/>
    <w:uiPriority w:val="0"/>
    <w:rPr>
      <w:rFonts w:ascii="Times New Roman" w:hAnsi="Times New Roman" w:eastAsia="黑体" w:cs="Times New Roman"/>
      <w:b/>
      <w:kern w:val="2"/>
      <w:sz w:val="44"/>
      <w:szCs w:val="44"/>
    </w:rPr>
  </w:style>
  <w:style w:type="paragraph" w:customStyle="1" w:styleId="121">
    <w:name w:val="6'"/>
    <w:basedOn w:val="1"/>
    <w:qFormat/>
    <w:uiPriority w:val="0"/>
    <w:pPr>
      <w:autoSpaceDE w:val="0"/>
      <w:autoSpaceDN w:val="0"/>
      <w:adjustRightInd w:val="0"/>
      <w:snapToGrid w:val="0"/>
      <w:spacing w:line="320" w:lineRule="exact"/>
      <w:jc w:val="center"/>
    </w:pPr>
    <w:rPr>
      <w:rFonts w:ascii="Times New Roman" w:hAnsi="Times New Roman" w:cs="Times New Roman"/>
      <w:color w:val="auto"/>
      <w:spacing w:val="20"/>
      <w:kern w:val="28"/>
      <w:sz w:val="21"/>
      <w:szCs w:val="20"/>
      <w:lang w:val="en-US"/>
    </w:rPr>
  </w:style>
  <w:style w:type="character" w:customStyle="1" w:styleId="122">
    <w:name w:val="标题 3 字符1"/>
    <w:qFormat/>
    <w:uiPriority w:val="99"/>
    <w:rPr>
      <w:rFonts w:ascii="宋体" w:hAnsi="宋体" w:eastAsia="宋体" w:cs="宋体"/>
      <w:b/>
      <w:bCs/>
      <w:kern w:val="0"/>
      <w:sz w:val="32"/>
      <w:szCs w:val="32"/>
    </w:rPr>
  </w:style>
  <w:style w:type="character" w:customStyle="1" w:styleId="123">
    <w:name w:val="二级 Char"/>
    <w:link w:val="124"/>
    <w:qFormat/>
    <w:uiPriority w:val="0"/>
    <w:rPr>
      <w:rFonts w:ascii="宋体" w:hAnsi="宋体"/>
      <w:b/>
      <w:bCs/>
      <w:sz w:val="28"/>
      <w:szCs w:val="28"/>
    </w:rPr>
  </w:style>
  <w:style w:type="paragraph" w:customStyle="1" w:styleId="124">
    <w:name w:val="二级"/>
    <w:basedOn w:val="1"/>
    <w:link w:val="123"/>
    <w:qFormat/>
    <w:uiPriority w:val="0"/>
    <w:pPr>
      <w:tabs>
        <w:tab w:val="left" w:pos="851"/>
      </w:tabs>
      <w:spacing w:after="80" w:line="360" w:lineRule="auto"/>
      <w:ind w:left="851" w:hanging="851"/>
      <w:jc w:val="center"/>
      <w:outlineLvl w:val="3"/>
    </w:pPr>
    <w:rPr>
      <w:rFonts w:ascii="宋体" w:hAnsi="宋体"/>
      <w:b/>
      <w:bCs/>
      <w:color w:val="auto"/>
      <w:sz w:val="28"/>
      <w:szCs w:val="28"/>
      <w:lang w:val="en-US"/>
    </w:rPr>
  </w:style>
  <w:style w:type="character" w:customStyle="1" w:styleId="125">
    <w:name w:val="三级 Char"/>
    <w:link w:val="126"/>
    <w:qFormat/>
    <w:uiPriority w:val="0"/>
    <w:rPr>
      <w:rFonts w:ascii="宋体" w:hAnsi="宋体"/>
      <w:b/>
      <w:bCs/>
      <w:sz w:val="24"/>
      <w:szCs w:val="24"/>
    </w:rPr>
  </w:style>
  <w:style w:type="paragraph" w:customStyle="1" w:styleId="126">
    <w:name w:val="三级"/>
    <w:basedOn w:val="1"/>
    <w:link w:val="125"/>
    <w:qFormat/>
    <w:uiPriority w:val="0"/>
    <w:pPr>
      <w:tabs>
        <w:tab w:val="left" w:pos="851"/>
      </w:tabs>
      <w:spacing w:after="80" w:line="360" w:lineRule="auto"/>
      <w:ind w:left="851" w:hanging="851"/>
      <w:jc w:val="both"/>
      <w:outlineLvl w:val="3"/>
    </w:pPr>
    <w:rPr>
      <w:rFonts w:ascii="宋体" w:hAnsi="宋体"/>
      <w:b/>
      <w:bCs/>
      <w:color w:val="auto"/>
      <w:lang w:val="en-US"/>
    </w:rPr>
  </w:style>
  <w:style w:type="character" w:customStyle="1" w:styleId="127">
    <w:name w:val="一级 Char"/>
    <w:link w:val="128"/>
    <w:qFormat/>
    <w:uiPriority w:val="0"/>
    <w:rPr>
      <w:rFonts w:ascii="宋体" w:hAnsi="宋体"/>
      <w:b/>
      <w:sz w:val="32"/>
      <w:szCs w:val="32"/>
    </w:rPr>
  </w:style>
  <w:style w:type="paragraph" w:customStyle="1" w:styleId="128">
    <w:name w:val="一级"/>
    <w:basedOn w:val="119"/>
    <w:link w:val="127"/>
    <w:qFormat/>
    <w:uiPriority w:val="0"/>
    <w:rPr>
      <w:rFonts w:ascii="宋体" w:hAnsi="宋体" w:eastAsia="宋体" w:cs="Courier New"/>
      <w:kern w:val="0"/>
      <w:sz w:val="32"/>
      <w:szCs w:val="32"/>
    </w:rPr>
  </w:style>
  <w:style w:type="paragraph" w:customStyle="1" w:styleId="129">
    <w:name w:val="标题1 Char Char Char"/>
    <w:basedOn w:val="2"/>
    <w:qFormat/>
    <w:uiPriority w:val="0"/>
    <w:pPr>
      <w:tabs>
        <w:tab w:val="center" w:pos="4512"/>
        <w:tab w:val="center" w:pos="4606"/>
      </w:tabs>
      <w:adjustRightInd w:val="0"/>
      <w:snapToGrid w:val="0"/>
      <w:spacing w:before="340" w:beforeLines="50" w:after="240" w:line="576" w:lineRule="auto"/>
      <w:jc w:val="center"/>
      <w:outlineLvl w:val="1"/>
    </w:pPr>
    <w:rPr>
      <w:rFonts w:ascii="Calibri" w:hAnsi="Calibri" w:cs="Times New Roman"/>
      <w:bCs w:val="0"/>
      <w:color w:val="auto"/>
      <w:sz w:val="28"/>
      <w:szCs w:val="20"/>
      <w:lang w:val="en-US"/>
    </w:rPr>
  </w:style>
  <w:style w:type="paragraph" w:customStyle="1" w:styleId="130">
    <w:name w:val="条款样式"/>
    <w:link w:val="131"/>
    <w:qFormat/>
    <w:uiPriority w:val="0"/>
    <w:pPr>
      <w:widowControl w:val="0"/>
      <w:tabs>
        <w:tab w:val="left" w:pos="770"/>
      </w:tabs>
      <w:spacing w:line="400" w:lineRule="exact"/>
      <w:ind w:hanging="771" w:hangingChars="367"/>
      <w:contextualSpacing/>
      <w:textAlignment w:val="center"/>
    </w:pPr>
    <w:rPr>
      <w:rFonts w:ascii="Calibri" w:hAnsi="Calibri" w:eastAsia="宋体" w:cs="Times New Roman"/>
      <w:kern w:val="2"/>
      <w:sz w:val="21"/>
      <w:szCs w:val="22"/>
      <w:lang w:val="en-US" w:eastAsia="zh-CN" w:bidi="ar-SA"/>
    </w:rPr>
  </w:style>
  <w:style w:type="character" w:customStyle="1" w:styleId="131">
    <w:name w:val="条款样式 Char"/>
    <w:link w:val="130"/>
    <w:qFormat/>
    <w:locked/>
    <w:uiPriority w:val="0"/>
    <w:rPr>
      <w:rFonts w:ascii="Calibri" w:hAnsi="Calibri" w:cs="Times New Roman"/>
      <w:kern w:val="2"/>
      <w:sz w:val="21"/>
      <w:szCs w:val="22"/>
    </w:rPr>
  </w:style>
  <w:style w:type="character" w:customStyle="1" w:styleId="132">
    <w:name w:val="Char Char10"/>
    <w:qFormat/>
    <w:uiPriority w:val="0"/>
    <w:rPr>
      <w:rFonts w:ascii="宋体" w:hAnsi="Courier New" w:eastAsia="宋体"/>
      <w:kern w:val="2"/>
      <w:sz w:val="24"/>
      <w:szCs w:val="24"/>
      <w:lang w:val="en-US" w:eastAsia="zh-CN" w:bidi="ar-SA"/>
    </w:rPr>
  </w:style>
  <w:style w:type="character" w:customStyle="1" w:styleId="133">
    <w:name w:val="标题 3 Char"/>
    <w:qFormat/>
    <w:uiPriority w:val="99"/>
    <w:rPr>
      <w:rFonts w:hint="default" w:ascii="Times New Roman" w:hAnsi="Times New Roman" w:eastAsia="宋体" w:cs="Times New Roman"/>
      <w:b/>
      <w:bCs/>
      <w:sz w:val="32"/>
      <w:szCs w:val="32"/>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1AB2264-1E15-483D-8045-2FB506F21D3D}">
  <ds:schemaRefs/>
</ds:datastoreItem>
</file>

<file path=docProps/app.xml><?xml version="1.0" encoding="utf-8"?>
<Properties xmlns="http://schemas.openxmlformats.org/officeDocument/2006/extended-properties" xmlns:vt="http://schemas.openxmlformats.org/officeDocument/2006/docPropsVTypes">
  <Template>Normal.dotm</Template>
  <Company>http://www.deepbbs.org</Company>
  <Pages>75</Pages>
  <Words>29169</Words>
  <Characters>31301</Characters>
  <Lines>255</Lines>
  <Paragraphs>71</Paragraphs>
  <TotalTime>25</TotalTime>
  <ScaleCrop>false</ScaleCrop>
  <LinksUpToDate>false</LinksUpToDate>
  <CharactersWithSpaces>33576</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2024-05-08T00:02:00Z</dcterms:created>
  <dc:creator>王磊</dc:creator>
  <cp:lastModifiedBy>哄哄</cp:lastModifiedBy>
  <dcterms:modified xsi:type="dcterms:W3CDTF">2026-01-08T00:53:51Z</dcterms:modified>
  <cp:revision>88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45A1448113BE4080912D2836EC23BC74_13</vt:lpwstr>
  </property>
  <property fmtid="{D5CDD505-2E9C-101B-9397-08002B2CF9AE}" pid="4" name="KSOTemplateDocerSaveRecord">
    <vt:lpwstr>eyJoZGlkIjoiMjAwOTYzZDE0NGZmNDA3M2JiNjI3ZjRiZWEwZjU3ODUiLCJ1c2VySWQiOiIxMDAyMDEwMDQzIn0=</vt:lpwstr>
  </property>
</Properties>
</file>